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09324">
      <w:pPr>
        <w:kinsoku/>
        <w:overflowPunct/>
        <w:topLinePunct w:val="0"/>
        <w:autoSpaceDE/>
        <w:autoSpaceDN/>
        <w:bidi w:val="0"/>
        <w:spacing w:line="400" w:lineRule="exact"/>
        <w:ind w:firstLine="1600" w:firstLineChars="400"/>
        <w:jc w:val="both"/>
        <w:textAlignment w:val="auto"/>
        <w:rPr>
          <w:rFonts w:hint="default"/>
          <w:lang w:val="en-US"/>
        </w:rPr>
      </w:pPr>
      <w:r>
        <w:rPr>
          <w:rFonts w:hint="eastAsia" w:ascii="黑体" w:hAnsi="黑体" w:eastAsia="黑体" w:cs="黑体"/>
          <w:b w:val="0"/>
          <w:bCs w:val="0"/>
          <w:sz w:val="40"/>
          <w:szCs w:val="40"/>
          <w:lang w:val="en-US" w:eastAsia="zh-CN"/>
        </w:rPr>
        <w:t>医共体院内配套设备（云资源）参数</w:t>
      </w:r>
    </w:p>
    <w:tbl>
      <w:tblPr>
        <w:tblStyle w:val="8"/>
        <w:tblpPr w:leftFromText="180" w:rightFromText="180" w:vertAnchor="text" w:horzAnchor="page" w:tblpX="1333" w:tblpY="1055"/>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19"/>
        <w:gridCol w:w="900"/>
        <w:gridCol w:w="852"/>
        <w:gridCol w:w="840"/>
        <w:gridCol w:w="6378"/>
      </w:tblGrid>
      <w:tr w14:paraId="5A6EF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46" w:hRule="atLeast"/>
        </w:trPr>
        <w:tc>
          <w:tcPr>
            <w:tcW w:w="6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24156">
            <w:pPr>
              <w:keepNext w:val="0"/>
              <w:keepLines w:val="0"/>
              <w:widowControl/>
              <w:suppressLineNumbers w:val="0"/>
              <w:jc w:val="center"/>
              <w:textAlignment w:val="center"/>
              <w:rPr>
                <w:rFonts w:hint="default" w:ascii="宋体" w:hAnsi="宋体" w:eastAsia="宋体" w:cs="宋体"/>
                <w:i w:val="0"/>
                <w:iCs w:val="0"/>
                <w:color w:val="000000"/>
                <w:kern w:val="0"/>
                <w:sz w:val="28"/>
                <w:szCs w:val="28"/>
                <w:highlight w:val="none"/>
                <w:u w:val="none"/>
                <w:lang w:val="en-US" w:eastAsia="zh-CN" w:bidi="ar"/>
              </w:rPr>
            </w:pPr>
            <w:r>
              <w:rPr>
                <w:rFonts w:hint="eastAsia" w:ascii="宋体" w:hAnsi="宋体" w:eastAsia="宋体" w:cs="宋体"/>
                <w:i w:val="0"/>
                <w:iCs w:val="0"/>
                <w:color w:val="000000"/>
                <w:kern w:val="0"/>
                <w:sz w:val="28"/>
                <w:szCs w:val="28"/>
                <w:highlight w:val="none"/>
                <w:u w:val="none"/>
                <w:lang w:val="en-US" w:eastAsia="zh-CN" w:bidi="ar"/>
              </w:rPr>
              <w:t>序号</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73F48">
            <w:pPr>
              <w:keepNext w:val="0"/>
              <w:keepLines w:val="0"/>
              <w:widowControl/>
              <w:suppressLineNumbers w:val="0"/>
              <w:jc w:val="center"/>
              <w:textAlignment w:val="center"/>
              <w:rPr>
                <w:rFonts w:hint="eastAsia" w:ascii="宋体" w:hAnsi="宋体" w:eastAsia="宋体" w:cs="宋体"/>
                <w:i w:val="0"/>
                <w:iCs w:val="0"/>
                <w:color w:val="000000"/>
                <w:sz w:val="28"/>
                <w:szCs w:val="28"/>
                <w:highlight w:val="none"/>
                <w:u w:val="none"/>
              </w:rPr>
            </w:pPr>
            <w:r>
              <w:rPr>
                <w:rFonts w:hint="eastAsia" w:ascii="宋体" w:hAnsi="宋体" w:eastAsia="宋体" w:cs="宋体"/>
                <w:i w:val="0"/>
                <w:iCs w:val="0"/>
                <w:color w:val="000000"/>
                <w:kern w:val="0"/>
                <w:sz w:val="28"/>
                <w:szCs w:val="28"/>
                <w:highlight w:val="none"/>
                <w:u w:val="none"/>
                <w:lang w:val="en-US" w:eastAsia="zh-CN" w:bidi="ar"/>
              </w:rPr>
              <w:t>一级目录</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9035B">
            <w:pPr>
              <w:keepNext w:val="0"/>
              <w:keepLines w:val="0"/>
              <w:widowControl/>
              <w:suppressLineNumbers w:val="0"/>
              <w:jc w:val="center"/>
              <w:textAlignment w:val="center"/>
              <w:rPr>
                <w:rFonts w:hint="eastAsia" w:ascii="宋体" w:hAnsi="宋体" w:eastAsia="宋体" w:cs="宋体"/>
                <w:i w:val="0"/>
                <w:iCs w:val="0"/>
                <w:color w:val="000000"/>
                <w:sz w:val="28"/>
                <w:szCs w:val="28"/>
                <w:highlight w:val="none"/>
                <w:u w:val="none"/>
              </w:rPr>
            </w:pPr>
            <w:r>
              <w:rPr>
                <w:rFonts w:hint="eastAsia" w:ascii="宋体" w:hAnsi="宋体" w:eastAsia="宋体" w:cs="宋体"/>
                <w:i w:val="0"/>
                <w:iCs w:val="0"/>
                <w:color w:val="000000"/>
                <w:kern w:val="0"/>
                <w:sz w:val="28"/>
                <w:szCs w:val="28"/>
                <w:highlight w:val="none"/>
                <w:u w:val="none"/>
                <w:lang w:val="en-US" w:eastAsia="zh-CN" w:bidi="ar"/>
              </w:rPr>
              <w:t>二级目录</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28368">
            <w:pPr>
              <w:keepNext w:val="0"/>
              <w:keepLines w:val="0"/>
              <w:widowControl/>
              <w:suppressLineNumbers w:val="0"/>
              <w:jc w:val="center"/>
              <w:textAlignment w:val="center"/>
              <w:rPr>
                <w:rFonts w:hint="eastAsia" w:ascii="宋体" w:hAnsi="宋体" w:eastAsia="宋体" w:cs="宋体"/>
                <w:i w:val="0"/>
                <w:iCs w:val="0"/>
                <w:color w:val="000000"/>
                <w:sz w:val="28"/>
                <w:szCs w:val="28"/>
                <w:highlight w:val="none"/>
                <w:u w:val="none"/>
              </w:rPr>
            </w:pPr>
            <w:r>
              <w:rPr>
                <w:rFonts w:hint="eastAsia" w:ascii="宋体" w:hAnsi="宋体" w:eastAsia="宋体" w:cs="宋体"/>
                <w:i w:val="0"/>
                <w:iCs w:val="0"/>
                <w:color w:val="000000"/>
                <w:kern w:val="0"/>
                <w:sz w:val="28"/>
                <w:szCs w:val="28"/>
                <w:highlight w:val="none"/>
                <w:u w:val="none"/>
                <w:lang w:val="en-US" w:eastAsia="zh-CN" w:bidi="ar"/>
              </w:rPr>
              <w:t>三级目录</w:t>
            </w:r>
          </w:p>
        </w:tc>
        <w:tc>
          <w:tcPr>
            <w:tcW w:w="63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1E2C4">
            <w:pPr>
              <w:keepNext w:val="0"/>
              <w:keepLines w:val="0"/>
              <w:widowControl/>
              <w:suppressLineNumbers w:val="0"/>
              <w:jc w:val="center"/>
              <w:textAlignment w:val="center"/>
              <w:rPr>
                <w:rFonts w:hint="eastAsia" w:ascii="宋体" w:hAnsi="宋体" w:eastAsia="宋体" w:cs="宋体"/>
                <w:i w:val="0"/>
                <w:iCs w:val="0"/>
                <w:color w:val="000000"/>
                <w:kern w:val="0"/>
                <w:sz w:val="28"/>
                <w:szCs w:val="28"/>
                <w:highlight w:val="none"/>
                <w:u w:val="none"/>
                <w:lang w:val="en-US" w:eastAsia="zh-CN" w:bidi="ar"/>
              </w:rPr>
            </w:pPr>
            <w:r>
              <w:rPr>
                <w:rFonts w:hint="eastAsia" w:ascii="宋体" w:hAnsi="宋体" w:eastAsia="宋体" w:cs="宋体"/>
                <w:i w:val="0"/>
                <w:iCs w:val="0"/>
                <w:color w:val="000000"/>
                <w:kern w:val="0"/>
                <w:sz w:val="28"/>
                <w:szCs w:val="28"/>
                <w:highlight w:val="none"/>
                <w:u w:val="none"/>
                <w:lang w:val="en-US" w:eastAsia="zh-CN" w:bidi="ar"/>
              </w:rPr>
              <w:t>技术参数</w:t>
            </w:r>
          </w:p>
        </w:tc>
      </w:tr>
      <w:tr w14:paraId="1C168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70009">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bookmarkStart w:id="0" w:name="OLE_LINK1" w:colFirst="6" w:colLast="6"/>
            <w:r>
              <w:rPr>
                <w:rFonts w:hint="eastAsia" w:ascii="宋体" w:hAnsi="宋体" w:eastAsia="宋体" w:cs="宋体"/>
                <w:b w:val="0"/>
                <w:bCs w:val="0"/>
                <w:i w:val="0"/>
                <w:iCs w:val="0"/>
                <w:color w:val="000000"/>
                <w:kern w:val="0"/>
                <w:sz w:val="24"/>
                <w:szCs w:val="24"/>
                <w:highlight w:val="none"/>
                <w:u w:val="none"/>
                <w:lang w:val="en-US" w:eastAsia="zh-CN" w:bidi="ar"/>
              </w:rPr>
              <w:t>1</w:t>
            </w:r>
          </w:p>
        </w:tc>
        <w:tc>
          <w:tcPr>
            <w:tcW w:w="900" w:type="dxa"/>
            <w:vMerge w:val="restart"/>
            <w:tcBorders>
              <w:top w:val="single" w:color="000000" w:sz="4" w:space="0"/>
              <w:left w:val="single" w:color="000000" w:sz="4" w:space="0"/>
              <w:right w:val="single" w:color="000000" w:sz="4" w:space="0"/>
            </w:tcBorders>
            <w:shd w:val="clear" w:color="auto" w:fill="auto"/>
            <w:noWrap/>
            <w:textDirection w:val="tbRlV"/>
            <w:vAlign w:val="center"/>
          </w:tcPr>
          <w:p w14:paraId="738A0939">
            <w:pPr>
              <w:jc w:val="center"/>
              <w:rPr>
                <w:rFonts w:hint="eastAsia" w:ascii="宋体" w:hAnsi="宋体" w:eastAsia="宋体" w:cs="宋体"/>
                <w:b/>
                <w:bCs/>
                <w:i w:val="0"/>
                <w:iCs w:val="0"/>
                <w:color w:val="000000"/>
                <w:sz w:val="28"/>
                <w:szCs w:val="28"/>
                <w:highlight w:val="none"/>
                <w:u w:val="none"/>
                <w:lang w:val="en-US" w:eastAsia="zh-CN"/>
              </w:rPr>
            </w:pPr>
            <w:r>
              <w:rPr>
                <w:rFonts w:hint="eastAsia" w:ascii="宋体" w:hAnsi="宋体" w:eastAsia="宋体" w:cs="宋体"/>
                <w:b/>
                <w:bCs/>
                <w:i w:val="0"/>
                <w:iCs w:val="0"/>
                <w:color w:val="000000"/>
                <w:sz w:val="28"/>
                <w:szCs w:val="28"/>
                <w:highlight w:val="none"/>
                <w:u w:val="none"/>
                <w:lang w:val="en-US" w:eastAsia="zh-CN"/>
              </w:rPr>
              <w:t>云资源</w:t>
            </w:r>
          </w:p>
        </w:tc>
        <w:tc>
          <w:tcPr>
            <w:tcW w:w="8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901DC">
            <w:pPr>
              <w:jc w:val="center"/>
              <w:rPr>
                <w:rFonts w:hint="eastAsia" w:asciiTheme="minorEastAsia" w:hAnsiTheme="minorEastAsia" w:eastAsiaTheme="minorEastAsia" w:cstheme="minorEastAsia"/>
                <w:i w:val="0"/>
                <w:iCs w:val="0"/>
                <w:color w:val="000000"/>
                <w:sz w:val="21"/>
                <w:szCs w:val="21"/>
                <w:highlight w:val="none"/>
                <w:u w:val="none"/>
                <w:lang w:val="en-US" w:eastAsia="zh-CN"/>
              </w:rPr>
            </w:pPr>
            <w:r>
              <w:rPr>
                <w:rFonts w:hint="eastAsia" w:asciiTheme="minorEastAsia" w:hAnsiTheme="minorEastAsia" w:eastAsiaTheme="minorEastAsia" w:cstheme="minorEastAsia"/>
                <w:i w:val="0"/>
                <w:iCs w:val="0"/>
                <w:color w:val="000000"/>
                <w:sz w:val="21"/>
                <w:szCs w:val="21"/>
                <w:highlight w:val="none"/>
                <w:u w:val="none"/>
                <w:lang w:val="en-US" w:eastAsia="zh-CN"/>
              </w:rPr>
              <w:t>计算服务</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11B6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pP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托管云主机（CPU：</w:t>
            </w:r>
            <w:r>
              <w:rPr>
                <w:rFonts w:hint="eastAsia" w:asciiTheme="minorEastAsia" w:hAnsiTheme="minorEastAsia" w:cstheme="minorEastAsia"/>
                <w:i w:val="0"/>
                <w:iCs w:val="0"/>
                <w:color w:val="000000"/>
                <w:kern w:val="2"/>
                <w:sz w:val="21"/>
                <w:szCs w:val="21"/>
                <w:highlight w:val="none"/>
                <w:u w:val="none"/>
                <w:lang w:val="en-US" w:eastAsia="zh-CN" w:bidi="ar-SA"/>
              </w:rPr>
              <w:t>≥</w:t>
            </w: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1200，内存：</w:t>
            </w:r>
            <w:r>
              <w:rPr>
                <w:rFonts w:hint="eastAsia" w:asciiTheme="minorEastAsia" w:hAnsiTheme="minorEastAsia" w:cstheme="minorEastAsia"/>
                <w:i w:val="0"/>
                <w:iCs w:val="0"/>
                <w:color w:val="000000"/>
                <w:kern w:val="2"/>
                <w:sz w:val="21"/>
                <w:szCs w:val="21"/>
                <w:highlight w:val="none"/>
                <w:u w:val="none"/>
                <w:lang w:val="en-US" w:eastAsia="zh-CN" w:bidi="ar-SA"/>
              </w:rPr>
              <w:t>≥</w:t>
            </w: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4096</w:t>
            </w:r>
            <w:r>
              <w:rPr>
                <w:rFonts w:hint="eastAsia" w:asciiTheme="minorEastAsia" w:hAnsiTheme="minorEastAsia" w:cstheme="minorEastAsia"/>
                <w:i w:val="0"/>
                <w:iCs w:val="0"/>
                <w:color w:val="000000"/>
                <w:kern w:val="2"/>
                <w:sz w:val="21"/>
                <w:szCs w:val="21"/>
                <w:highlight w:val="none"/>
                <w:u w:val="none"/>
                <w:lang w:val="en-US" w:eastAsia="zh-CN" w:bidi="ar-SA"/>
              </w:rPr>
              <w:t>GB</w:t>
            </w: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，数据盘：</w:t>
            </w:r>
            <w:r>
              <w:rPr>
                <w:rFonts w:hint="eastAsia" w:asciiTheme="minorEastAsia" w:hAnsiTheme="minorEastAsia" w:cstheme="minorEastAsia"/>
                <w:i w:val="0"/>
                <w:iCs w:val="0"/>
                <w:color w:val="000000"/>
                <w:kern w:val="2"/>
                <w:sz w:val="21"/>
                <w:szCs w:val="21"/>
                <w:highlight w:val="none"/>
                <w:u w:val="none"/>
                <w:lang w:val="en-US" w:eastAsia="zh-CN" w:bidi="ar-SA"/>
              </w:rPr>
              <w:t>≥</w:t>
            </w: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60T）；五年期</w:t>
            </w:r>
          </w:p>
        </w:tc>
        <w:tc>
          <w:tcPr>
            <w:tcW w:w="63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74969">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Cs w:val="21"/>
                <w:highlight w:val="none"/>
                <w:lang w:val="en-US" w:eastAsia="zh-CN"/>
              </w:rPr>
              <w:t>1.</w:t>
            </w:r>
            <w:r>
              <w:rPr>
                <w:rFonts w:hint="eastAsia" w:asciiTheme="minorEastAsia" w:hAnsiTheme="minorEastAsia" w:eastAsiaTheme="minorEastAsia" w:cstheme="minorEastAsia"/>
                <w:sz w:val="21"/>
                <w:szCs w:val="21"/>
                <w:highlight w:val="none"/>
              </w:rPr>
              <w:t>虚拟化</w:t>
            </w:r>
          </w:p>
          <w:p w14:paraId="5CA99F57">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lang w:val="en-US" w:eastAsia="zh-CN"/>
              </w:rPr>
              <w:t>1</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rPr>
              <w:t>服务器采用自主可控设备；</w:t>
            </w:r>
          </w:p>
          <w:p w14:paraId="5652B819">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val="en-US" w:eastAsia="zh-CN"/>
              </w:rPr>
              <w:t>（2）</w:t>
            </w:r>
            <w:r>
              <w:rPr>
                <w:rFonts w:hint="eastAsia" w:asciiTheme="minorEastAsia" w:hAnsiTheme="minorEastAsia" w:eastAsiaTheme="minorEastAsia" w:cstheme="minorEastAsia"/>
                <w:szCs w:val="21"/>
                <w:highlight w:val="none"/>
              </w:rPr>
              <w:t>所使用虚拟化技术为开放的或业界知名的虚拟化技术；</w:t>
            </w:r>
          </w:p>
          <w:p w14:paraId="37E43AE7">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val="en-US" w:eastAsia="zh-CN"/>
              </w:rPr>
              <w:t>（3）</w:t>
            </w:r>
            <w:r>
              <w:rPr>
                <w:rFonts w:hint="eastAsia" w:asciiTheme="minorEastAsia" w:hAnsiTheme="minorEastAsia" w:eastAsiaTheme="minorEastAsia" w:cstheme="minorEastAsia"/>
                <w:szCs w:val="21"/>
                <w:highlight w:val="none"/>
              </w:rPr>
              <w:t>★云主机支持节点亲和性、虚拟机亲和性、虚拟机反亲和性，支持控制台设置调度策略【要求截图】；</w:t>
            </w:r>
          </w:p>
          <w:p w14:paraId="22CCCCFE">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lang w:val="en-US" w:eastAsia="zh-CN"/>
              </w:rPr>
              <w:t>4</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rPr>
              <w:t>云主机支持配额管理【要求截图】；</w:t>
            </w:r>
          </w:p>
          <w:p w14:paraId="0B673AFA">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lang w:val="en-US" w:eastAsia="zh-CN"/>
              </w:rPr>
              <w:t>5</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rPr>
              <w:t>★云主机支持在线的虚拟机迁移（热迁移），可以在不中断业务</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lang w:val="en-US" w:eastAsia="zh-CN"/>
              </w:rPr>
              <w:t>丢包小于1秒</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rPr>
              <w:t>的情况下，自动地实现虚拟机在集群之内的不同物理机之间迁移【要求截图】；</w:t>
            </w:r>
          </w:p>
          <w:p w14:paraId="301349B5">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lang w:val="en-US" w:eastAsia="zh-CN"/>
              </w:rPr>
              <w:t>6</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rPr>
              <w:t>支持修改虚拟机规格，调整CPU、内存、磁盘和网卡；支持对云主机网卡进行限速；</w:t>
            </w:r>
          </w:p>
          <w:p w14:paraId="1D1A41F7">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lang w:val="en-US" w:eastAsia="zh-CN"/>
              </w:rPr>
              <w:t>7</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rPr>
              <w:t>云主机支持快照和回滚；</w:t>
            </w:r>
          </w:p>
          <w:p w14:paraId="59144EB2">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lang w:val="en-US" w:eastAsia="zh-CN"/>
              </w:rPr>
              <w:t>8</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rPr>
              <w:t>云主机支持创建到指定物理节点。</w:t>
            </w:r>
          </w:p>
          <w:p w14:paraId="5BAFA8DD">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lang w:val="en-US" w:eastAsia="zh-CN"/>
              </w:rPr>
              <w:t>9</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rPr>
              <w:t>虚拟机之间可以做到隔离保护，在同一个宿主机上其中某一台虚拟机发生故障都不会影响同一个物理机上的其它虚拟机运行，每个虚拟机上的用户权限只限于本虚拟机之内，以保障系统平台的安全性；</w:t>
            </w:r>
          </w:p>
          <w:p w14:paraId="59ECF64B">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lang w:val="en-US" w:eastAsia="zh-CN"/>
              </w:rPr>
              <w:t>10</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rPr>
              <w:t>★虚拟机可以实现物理机的功能，如具有自己的资源（内存、CPU、网卡、存储），可以通过控制台指定单独的IP地址；</w:t>
            </w:r>
          </w:p>
          <w:p w14:paraId="07E8415B">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lang w:val="en-US" w:eastAsia="zh-CN"/>
              </w:rPr>
              <w:t>11</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rPr>
              <w:t>当虚拟机出现故障时，具备自动恢复该虚拟机，保障业务健壮性；</w:t>
            </w:r>
          </w:p>
          <w:p w14:paraId="5C393D15">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lang w:val="en-US" w:eastAsia="zh-CN"/>
              </w:rPr>
              <w:t>12</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rPr>
              <w:t>虚拟化软件可以提供远程版本升级，不同版本之间可以相互兼容；</w:t>
            </w:r>
          </w:p>
          <w:p w14:paraId="36FE1E4C">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lang w:val="en-US" w:eastAsia="zh-CN"/>
              </w:rPr>
              <w:t>13</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rPr>
              <w:t>★持虚拟机、容器，可直接将虚拟机和容器调度至同一</w:t>
            </w:r>
            <w:r>
              <w:rPr>
                <w:rFonts w:hint="eastAsia" w:asciiTheme="minorEastAsia" w:hAnsiTheme="minorEastAsia" w:eastAsiaTheme="minorEastAsia" w:cstheme="minorEastAsia"/>
                <w:szCs w:val="21"/>
                <w:highlight w:val="none"/>
                <w:lang w:val="en-US" w:eastAsia="zh-CN"/>
              </w:rPr>
              <w:t>二层</w:t>
            </w:r>
            <w:r>
              <w:rPr>
                <w:rFonts w:hint="eastAsia" w:asciiTheme="minorEastAsia" w:hAnsiTheme="minorEastAsia" w:cstheme="minorEastAsia"/>
                <w:szCs w:val="21"/>
                <w:highlight w:val="none"/>
                <w:lang w:val="en-US" w:eastAsia="zh-CN"/>
              </w:rPr>
              <w:t>1</w:t>
            </w:r>
            <w:r>
              <w:rPr>
                <w:rFonts w:hint="eastAsia" w:asciiTheme="minorEastAsia" w:hAnsiTheme="minorEastAsia" w:eastAsiaTheme="minorEastAsia" w:cstheme="minorEastAsia"/>
                <w:szCs w:val="21"/>
                <w:highlight w:val="none"/>
              </w:rPr>
              <w:t>网段，实现云主机与容器的二层互通；</w:t>
            </w:r>
          </w:p>
          <w:p w14:paraId="2234B20A">
            <w:pPr>
              <w:keepNext w:val="0"/>
              <w:keepLines w:val="0"/>
              <w:widowControl/>
              <w:suppressLineNumbers w:val="0"/>
              <w:jc w:val="left"/>
              <w:textAlignment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lang w:val="en-US" w:eastAsia="zh-CN"/>
              </w:rPr>
              <w:t>14</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rPr>
              <w:t>云主机支持重装操作系统、云主机列表导出；</w:t>
            </w:r>
          </w:p>
          <w:p w14:paraId="14F6DE10">
            <w:pPr>
              <w:keepNext w:val="0"/>
              <w:keepLines w:val="0"/>
              <w:widowControl/>
              <w:numPr>
                <w:ilvl w:val="0"/>
                <w:numId w:val="1"/>
              </w:numPr>
              <w:suppressLineNumbers w:val="0"/>
              <w:jc w:val="left"/>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rPr>
              <w:t>裸金属服务器</w:t>
            </w:r>
          </w:p>
          <w:p w14:paraId="7C785220">
            <w:pPr>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X86服务器主频不低于2.2GHz，单台服务器不少于2颗CPU，单颗CPU核数不低于20核；</w:t>
            </w:r>
          </w:p>
          <w:p w14:paraId="0DFC93E9">
            <w:pPr>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ARM服务器主频不低于2.6GHz，单台服务器不少于2颗CPU，单颗CPU核数不低于20核；</w:t>
            </w:r>
          </w:p>
          <w:p w14:paraId="03332D9D">
            <w:pPr>
              <w:keepNext w:val="0"/>
              <w:keepLines w:val="0"/>
              <w:widowControl/>
              <w:numPr>
                <w:ilvl w:val="0"/>
                <w:numId w:val="0"/>
              </w:numPr>
              <w:suppressLineNumbers w:val="0"/>
              <w:jc w:val="left"/>
              <w:textAlignment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3</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提供轻量化无SDN技术依赖的裸金属管理能力；【提供架构说明】</w:t>
            </w:r>
          </w:p>
        </w:tc>
      </w:tr>
      <w:tr w14:paraId="560A1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DF8C4">
            <w:pPr>
              <w:keepNext w:val="0"/>
              <w:keepLines w:val="0"/>
              <w:widowControl/>
              <w:suppressLineNumbers w:val="0"/>
              <w:jc w:val="center"/>
              <w:textAlignment w:val="center"/>
              <w:rPr>
                <w:rFonts w:hint="default"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w:t>
            </w:r>
          </w:p>
        </w:tc>
        <w:tc>
          <w:tcPr>
            <w:tcW w:w="900" w:type="dxa"/>
            <w:vMerge w:val="continue"/>
            <w:tcBorders>
              <w:left w:val="single" w:color="000000" w:sz="4" w:space="0"/>
              <w:right w:val="single" w:color="000000" w:sz="4" w:space="0"/>
            </w:tcBorders>
            <w:shd w:val="clear" w:color="auto" w:fill="auto"/>
            <w:noWrap/>
            <w:textDirection w:val="tbRlV"/>
            <w:vAlign w:val="center"/>
          </w:tcPr>
          <w:p w14:paraId="2EDEBF79">
            <w:pPr>
              <w:jc w:val="center"/>
              <w:rPr>
                <w:rFonts w:hint="eastAsia" w:ascii="宋体" w:hAnsi="宋体" w:eastAsia="宋体" w:cs="宋体"/>
                <w:b/>
                <w:bCs/>
                <w:i w:val="0"/>
                <w:iCs w:val="0"/>
                <w:color w:val="000000"/>
                <w:sz w:val="28"/>
                <w:szCs w:val="28"/>
                <w:highlight w:val="none"/>
                <w:u w:val="none"/>
              </w:rPr>
            </w:pPr>
          </w:p>
        </w:tc>
        <w:tc>
          <w:tcPr>
            <w:tcW w:w="852" w:type="dxa"/>
            <w:tcBorders>
              <w:top w:val="single" w:color="000000" w:sz="4" w:space="0"/>
              <w:left w:val="single" w:color="000000" w:sz="4" w:space="0"/>
              <w:right w:val="single" w:color="000000" w:sz="4" w:space="0"/>
            </w:tcBorders>
            <w:shd w:val="clear" w:color="auto" w:fill="auto"/>
            <w:vAlign w:val="center"/>
          </w:tcPr>
          <w:p w14:paraId="7D5323E0">
            <w:pPr>
              <w:jc w:val="center"/>
              <w:rPr>
                <w:rFonts w:hint="eastAsia" w:asciiTheme="minorEastAsia" w:hAnsiTheme="minorEastAsia" w:eastAsiaTheme="minorEastAsia" w:cstheme="minorEastAsia"/>
                <w:i w:val="0"/>
                <w:iCs w:val="0"/>
                <w:color w:val="000000"/>
                <w:sz w:val="21"/>
                <w:szCs w:val="21"/>
                <w:highlight w:val="none"/>
                <w:u w:val="none"/>
                <w:lang w:val="en-US" w:eastAsia="zh-CN"/>
              </w:rPr>
            </w:pPr>
            <w:r>
              <w:rPr>
                <w:rFonts w:hint="eastAsia" w:asciiTheme="minorEastAsia" w:hAnsiTheme="minorEastAsia" w:eastAsiaTheme="minorEastAsia" w:cstheme="minorEastAsia"/>
                <w:i w:val="0"/>
                <w:iCs w:val="0"/>
                <w:color w:val="000000"/>
                <w:sz w:val="21"/>
                <w:szCs w:val="21"/>
                <w:highlight w:val="none"/>
                <w:u w:val="none"/>
                <w:lang w:val="en-US" w:eastAsia="zh-CN"/>
              </w:rPr>
              <w:t>存储服务</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3C75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pP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存储服务</w:t>
            </w:r>
          </w:p>
        </w:tc>
        <w:tc>
          <w:tcPr>
            <w:tcW w:w="63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D780D">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rPr>
              <w:t>云硬盘</w:t>
            </w:r>
            <w:r>
              <w:rPr>
                <w:rFonts w:hint="eastAsia" w:asciiTheme="minorEastAsia" w:hAnsiTheme="minorEastAsia" w:eastAsiaTheme="minorEastAsia" w:cstheme="minorEastAsia"/>
                <w:sz w:val="21"/>
                <w:szCs w:val="21"/>
                <w:highlight w:val="none"/>
                <w:lang w:eastAsia="zh-CN"/>
              </w:rPr>
              <w:t>：</w:t>
            </w:r>
          </w:p>
          <w:p w14:paraId="704F99BE">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Cs w:val="21"/>
                <w:highlight w:val="none"/>
              </w:rPr>
              <w:t>支持SSD缓存加速架构的容量型硬盘、全SSD架构的性能型硬盘、全NVMe架构的高性能型硬盘；</w:t>
            </w:r>
          </w:p>
          <w:p w14:paraId="3B85FAB7">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lang w:val="en-US" w:eastAsia="zh-CN"/>
              </w:rPr>
              <w:t>2</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rPr>
              <w:t>云硬盘支持配置自定义大小的系统盘、数据盘；要求截图】；</w:t>
            </w:r>
          </w:p>
          <w:p w14:paraId="0C915B8C">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lang w:val="en-US" w:eastAsia="zh-CN"/>
              </w:rPr>
              <w:t>3</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rPr>
              <w:t>★支持云硬盘快照，包含快照创建、快照删除、查看快照、快照回滚；【要求截图】</w:t>
            </w:r>
          </w:p>
          <w:p w14:paraId="2810BB96">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lang w:val="en-US" w:eastAsia="zh-CN"/>
              </w:rPr>
              <w:t>4</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rPr>
              <w:t>支持创建虚拟机时，可同时创建云硬盘，并自动挂载至所创建的虚拟机，作为该虚拟机的数据盘使用；</w:t>
            </w:r>
          </w:p>
          <w:p w14:paraId="10E4796B">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lang w:val="en-US" w:eastAsia="zh-CN"/>
              </w:rPr>
              <w:t>5</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rPr>
              <w:t>支持冗余策略：采用多节点去中心架构工作方式；所有服务器实现系统应用冗余配置，保证无单一故障点，发生故障后能够快速切换，实现24小时不间断运行；</w:t>
            </w:r>
          </w:p>
          <w:p w14:paraId="4E20BABC">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lang w:val="en-US" w:eastAsia="zh-CN"/>
              </w:rPr>
              <w:t>6</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rPr>
              <w:t>采用去中心化分布式存储架构，提供高可用的监控模式，防止单点故障；</w:t>
            </w:r>
            <w:r>
              <w:rPr>
                <w:rFonts w:hint="eastAsia" w:asciiTheme="minorEastAsia" w:hAnsiTheme="minorEastAsia" w:eastAsiaTheme="minorEastAsia" w:cstheme="minorEastAsia"/>
                <w:sz w:val="21"/>
                <w:szCs w:val="21"/>
                <w:highlight w:val="none"/>
              </w:rPr>
              <w:t>【要求截图】</w:t>
            </w:r>
          </w:p>
          <w:p w14:paraId="53B74620">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lang w:val="en-US" w:eastAsia="zh-CN"/>
              </w:rPr>
              <w:t>7</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rPr>
              <w:t>当出现硬盘故障导致的数据重分布时，系统能实现自动均衡，恢复数据的高可靠，无需人工干预；</w:t>
            </w:r>
          </w:p>
          <w:p w14:paraId="186F773B">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highlight w:val="none"/>
                <w:lang w:val="en-US" w:eastAsia="zh-CN"/>
              </w:rPr>
              <w:t>8</w:t>
            </w:r>
            <w:r>
              <w:rPr>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highlight w:val="none"/>
              </w:rPr>
              <w:t>支持创建共享云硬盘；</w:t>
            </w:r>
          </w:p>
          <w:p w14:paraId="19DA8D7D">
            <w:pPr>
              <w:keepNext w:val="0"/>
              <w:keepLines w:val="0"/>
              <w:widowControl/>
              <w:numPr>
                <w:ilvl w:val="0"/>
                <w:numId w:val="0"/>
              </w:numPr>
              <w:suppressLineNumbers w:val="0"/>
              <w:jc w:val="left"/>
              <w:textAlignment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lang w:val="en-US" w:eastAsia="zh-CN"/>
              </w:rPr>
              <w:t>9</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rPr>
              <w:t>云存储服务应具备较强的扩展能力，存储系统可扩展容量支持PB级扩展；</w:t>
            </w:r>
          </w:p>
          <w:p w14:paraId="648D1D25">
            <w:pPr>
              <w:keepNext w:val="0"/>
              <w:keepLines w:val="0"/>
              <w:widowControl/>
              <w:numPr>
                <w:ilvl w:val="0"/>
                <w:numId w:val="0"/>
              </w:numPr>
              <w:suppressLineNumbers w:val="0"/>
              <w:ind w:leftChars="0"/>
              <w:jc w:val="left"/>
              <w:textAlignment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rPr>
              <w:t>对象存储</w:t>
            </w:r>
          </w:p>
          <w:p w14:paraId="05D11739">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lang w:val="en-US" w:eastAsia="zh-CN"/>
              </w:rPr>
              <w:t>1</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rPr>
              <w:t>采用分布式存储，支持标准的S3接口协议；</w:t>
            </w:r>
          </w:p>
          <w:p w14:paraId="083E4798">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lang w:val="en-US" w:eastAsia="zh-CN"/>
              </w:rPr>
              <w:t>2</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rPr>
              <w:t>桶管理提供上传、下载、复制、剪切、搜索、分享、碎片管理、断点续传等功能，满足各个场景的对象管理需求；</w:t>
            </w:r>
          </w:p>
          <w:p w14:paraId="7135AE31">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lang w:val="en-US" w:eastAsia="zh-CN"/>
              </w:rPr>
              <w:t>3</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rPr>
              <w:t>对象存储支持提供防盗链、生命周期管理能力；</w:t>
            </w:r>
          </w:p>
          <w:p w14:paraId="7E4358AD">
            <w:pPr>
              <w:keepNext w:val="0"/>
              <w:keepLines w:val="0"/>
              <w:widowControl/>
              <w:numPr>
                <w:ilvl w:val="0"/>
                <w:numId w:val="0"/>
              </w:numPr>
              <w:suppressLineNumbers w:val="0"/>
              <w:ind w:leftChars="0"/>
              <w:jc w:val="left"/>
              <w:textAlignment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lang w:val="en-US" w:eastAsia="zh-CN"/>
              </w:rPr>
              <w:t>4</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rPr>
              <w:t>对象存储产品通过可信云认证；</w:t>
            </w:r>
          </w:p>
        </w:tc>
      </w:tr>
      <w:tr w14:paraId="091DDA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6B050">
            <w:pPr>
              <w:keepNext w:val="0"/>
              <w:keepLines w:val="0"/>
              <w:widowControl/>
              <w:suppressLineNumbers w:val="0"/>
              <w:jc w:val="center"/>
              <w:textAlignment w:val="center"/>
              <w:rPr>
                <w:rFonts w:hint="default"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w:t>
            </w:r>
          </w:p>
        </w:tc>
        <w:tc>
          <w:tcPr>
            <w:tcW w:w="900" w:type="dxa"/>
            <w:vMerge w:val="continue"/>
            <w:tcBorders>
              <w:left w:val="single" w:color="000000" w:sz="4" w:space="0"/>
              <w:right w:val="single" w:color="000000" w:sz="4" w:space="0"/>
            </w:tcBorders>
            <w:shd w:val="clear" w:color="auto" w:fill="auto"/>
            <w:noWrap/>
            <w:textDirection w:val="tbRlV"/>
            <w:vAlign w:val="center"/>
          </w:tcPr>
          <w:p w14:paraId="1109EA79">
            <w:pPr>
              <w:jc w:val="center"/>
              <w:rPr>
                <w:rFonts w:hint="eastAsia" w:ascii="宋体" w:hAnsi="宋体" w:eastAsia="宋体" w:cs="宋体"/>
                <w:b/>
                <w:bCs/>
                <w:i w:val="0"/>
                <w:iCs w:val="0"/>
                <w:color w:val="000000"/>
                <w:sz w:val="28"/>
                <w:szCs w:val="28"/>
                <w:highlight w:val="none"/>
                <w:u w:val="none"/>
              </w:rPr>
            </w:pPr>
          </w:p>
        </w:tc>
        <w:tc>
          <w:tcPr>
            <w:tcW w:w="852" w:type="dxa"/>
            <w:tcBorders>
              <w:top w:val="single" w:color="000000" w:sz="4" w:space="0"/>
              <w:left w:val="single" w:color="000000" w:sz="4" w:space="0"/>
              <w:right w:val="single" w:color="000000" w:sz="4" w:space="0"/>
            </w:tcBorders>
            <w:shd w:val="clear" w:color="auto" w:fill="auto"/>
            <w:vAlign w:val="center"/>
          </w:tcPr>
          <w:p w14:paraId="58A2EF95">
            <w:pPr>
              <w:jc w:val="center"/>
              <w:rPr>
                <w:rFonts w:hint="eastAsia" w:asciiTheme="minorEastAsia" w:hAnsiTheme="minorEastAsia" w:eastAsiaTheme="minorEastAsia" w:cstheme="minorEastAsia"/>
                <w:i w:val="0"/>
                <w:iCs w:val="0"/>
                <w:color w:val="000000"/>
                <w:sz w:val="21"/>
                <w:szCs w:val="21"/>
                <w:highlight w:val="none"/>
                <w:u w:val="none"/>
                <w:lang w:val="en-US" w:eastAsia="zh-CN"/>
              </w:rPr>
            </w:pPr>
            <w:r>
              <w:rPr>
                <w:rFonts w:hint="eastAsia" w:asciiTheme="minorEastAsia" w:hAnsiTheme="minorEastAsia" w:eastAsiaTheme="minorEastAsia" w:cstheme="minorEastAsia"/>
                <w:i w:val="0"/>
                <w:iCs w:val="0"/>
                <w:color w:val="000000"/>
                <w:sz w:val="21"/>
                <w:szCs w:val="21"/>
                <w:highlight w:val="none"/>
                <w:u w:val="none"/>
                <w:lang w:val="en-US" w:eastAsia="zh-CN"/>
              </w:rPr>
              <w:t>安全服务</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30AE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pP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安全资源池</w:t>
            </w:r>
          </w:p>
        </w:tc>
        <w:tc>
          <w:tcPr>
            <w:tcW w:w="63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A1554">
            <w:pPr>
              <w:pStyle w:val="10"/>
              <w:keepNext w:val="0"/>
              <w:keepLines w:val="0"/>
              <w:widowControl/>
              <w:suppressLineNumbers w:val="0"/>
              <w:spacing w:before="0" w:beforeAutospacing="0" w:after="0" w:afterAutospacing="0" w:line="360" w:lineRule="auto"/>
              <w:ind w:left="0" w:right="0" w:firstLine="0" w:firstLineChars="0"/>
              <w:jc w:val="left"/>
              <w:textAlignment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应能支持安全服务能力，要求如下：</w:t>
            </w:r>
          </w:p>
          <w:p w14:paraId="76B6E078">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lang w:val="en-US" w:eastAsia="zh-CN"/>
              </w:rPr>
              <w:t>1</w:t>
            </w:r>
            <w:r>
              <w:rPr>
                <w:rFonts w:hint="eastAsia" w:asciiTheme="minorEastAsia" w:hAnsiTheme="minorEastAsia" w:eastAsiaTheme="minorEastAsia" w:cstheme="minorEastAsia"/>
                <w:szCs w:val="21"/>
                <w:highlight w:val="none"/>
                <w:lang w:eastAsia="zh-CN"/>
              </w:rPr>
              <w:t>）</w:t>
            </w:r>
            <w:r>
              <w:rPr>
                <w:rFonts w:hint="eastAsia" w:asciiTheme="minorEastAsia" w:hAnsiTheme="minorEastAsia" w:eastAsiaTheme="minorEastAsia" w:cstheme="minorEastAsia"/>
                <w:szCs w:val="21"/>
                <w:highlight w:val="none"/>
              </w:rPr>
              <w:t>产品要求自主可控；</w:t>
            </w:r>
          </w:p>
          <w:p w14:paraId="0088A7B6">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支持部署下一代防火墙、IPS、WAF、CWPP、日志审计、数据库审计、堡垒机、漏洞扫描等安全组件进行安全防护、安全检测及安全运维；【要求截图】</w:t>
            </w:r>
          </w:p>
          <w:p w14:paraId="10E4003F">
            <w:pPr>
              <w:keepNext w:val="0"/>
              <w:keepLines w:val="0"/>
              <w:numPr>
                <w:ilvl w:val="0"/>
                <w:numId w:val="0"/>
              </w:numPr>
              <w:suppressLineNumbers w:val="0"/>
              <w:spacing w:before="156" w:beforeLines="50" w:beforeAutospacing="0" w:after="156" w:afterLines="50" w:afterAutospacing="0"/>
              <w:ind w:leftChars="0" w:right="0" w:rightChars="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3</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★支持安全组件负载部署，防止随租户业务增长突破单安全组件性能瓶颈【要求截图】</w:t>
            </w:r>
          </w:p>
          <w:p w14:paraId="7008BF9E">
            <w:pPr>
              <w:keepNext w:val="0"/>
              <w:keepLines w:val="0"/>
              <w:numPr>
                <w:ilvl w:val="0"/>
                <w:numId w:val="0"/>
              </w:numPr>
              <w:suppressLineNumbers w:val="0"/>
              <w:spacing w:before="156" w:beforeLines="50" w:beforeAutospacing="0" w:after="156" w:afterLines="50" w:afterAutospacing="0"/>
              <w:ind w:leftChars="0" w:right="0" w:rightChars="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4</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支持安全组件配置一键导入导出、按周期定时导出；【要求截图】</w:t>
            </w:r>
          </w:p>
          <w:p w14:paraId="293B39E4">
            <w:pPr>
              <w:keepNext w:val="0"/>
              <w:keepLines w:val="0"/>
              <w:numPr>
                <w:ilvl w:val="0"/>
                <w:numId w:val="0"/>
              </w:numPr>
              <w:suppressLineNumbers w:val="0"/>
              <w:spacing w:before="156" w:beforeLines="50" w:beforeAutospacing="0" w:after="156" w:afterLines="50" w:afterAutospacing="0"/>
              <w:ind w:leftChars="0" w:right="0" w:rightChars="0"/>
              <w:jc w:val="left"/>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5</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kern w:val="2"/>
                <w:sz w:val="21"/>
                <w:szCs w:val="21"/>
                <w:highlight w:val="none"/>
                <w:lang w:val="en-US" w:eastAsia="zh-CN" w:bidi="ar"/>
              </w:rPr>
              <w:t>运维安全管理</w:t>
            </w:r>
            <w:r>
              <w:rPr>
                <w:rFonts w:hint="eastAsia" w:asciiTheme="minorEastAsia" w:hAnsiTheme="minorEastAsia" w:eastAsiaTheme="minorEastAsia" w:cstheme="minorEastAsia"/>
                <w:sz w:val="21"/>
                <w:szCs w:val="21"/>
                <w:highlight w:val="none"/>
              </w:rPr>
              <w:t>支持租户/平台系统管理员纳管已有的安全组件(包括虚拟机、物理设备)并展示在安全组件列表中，可进行的操作包括重启、配置导入、下载手册、单点登录、VNC登录等</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【要求截图】</w:t>
            </w:r>
          </w:p>
          <w:p w14:paraId="2DB35D6B">
            <w:pPr>
              <w:keepNext w:val="0"/>
              <w:keepLines w:val="0"/>
              <w:numPr>
                <w:ilvl w:val="0"/>
                <w:numId w:val="0"/>
              </w:numPr>
              <w:suppressLineNumbers w:val="0"/>
              <w:spacing w:before="156" w:beforeLines="50" w:beforeAutospacing="0" w:after="156" w:afterLines="50" w:afterAutospacing="0"/>
              <w:ind w:leftChars="0" w:right="0" w:rightChars="0"/>
              <w:jc w:val="left"/>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6</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kern w:val="2"/>
                <w:sz w:val="21"/>
                <w:szCs w:val="21"/>
                <w:highlight w:val="none"/>
                <w:lang w:val="en-US" w:eastAsia="zh-CN" w:bidi="ar"/>
              </w:rPr>
              <w:t>运维安全管理</w:t>
            </w:r>
            <w:r>
              <w:rPr>
                <w:rFonts w:hint="eastAsia" w:asciiTheme="minorEastAsia" w:hAnsiTheme="minorEastAsia" w:eastAsiaTheme="minorEastAsia" w:cstheme="minorEastAsia"/>
                <w:sz w:val="21"/>
                <w:szCs w:val="21"/>
                <w:highlight w:val="none"/>
              </w:rPr>
              <w:t>支持管理员帐号设置双因认证、IP/MAC限制，提升帐号安全性</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【要求截图】</w:t>
            </w:r>
          </w:p>
          <w:p w14:paraId="1B828E9A">
            <w:pPr>
              <w:pStyle w:val="7"/>
              <w:keepNext w:val="0"/>
              <w:keepLines w:val="0"/>
              <w:numPr>
                <w:ilvl w:val="0"/>
                <w:numId w:val="0"/>
              </w:numPr>
              <w:suppressLineNumbers w:val="0"/>
              <w:spacing w:before="0" w:beforeAutospacing="0" w:after="0" w:afterAutospacing="0"/>
              <w:ind w:leftChars="0" w:right="0" w:rightChars="0"/>
              <w:jc w:val="left"/>
              <w:rPr>
                <w:rFonts w:hint="eastAsia" w:asciiTheme="minorEastAsia" w:hAnsiTheme="minorEastAsia" w:eastAsiaTheme="minorEastAsia" w:cstheme="minorEastAsia"/>
                <w:szCs w:val="21"/>
                <w:highlight w:val="none"/>
                <w:lang w:eastAsia="zh-CN"/>
              </w:rPr>
            </w:pPr>
            <w:r>
              <w:rPr>
                <w:rFonts w:hint="eastAsia" w:asciiTheme="minorEastAsia" w:hAnsiTheme="minorEastAsia" w:eastAsiaTheme="minorEastAsia" w:cstheme="minorEastAsia"/>
                <w:kern w:val="2"/>
                <w:sz w:val="21"/>
                <w:szCs w:val="21"/>
                <w:highlight w:val="none"/>
                <w:lang w:val="en-US" w:eastAsia="zh-CN" w:bidi="ar"/>
              </w:rPr>
              <w:t>（7）运维安全管理</w:t>
            </w:r>
            <w:r>
              <w:rPr>
                <w:rFonts w:hint="eastAsia" w:asciiTheme="minorEastAsia" w:hAnsiTheme="minorEastAsia" w:eastAsiaTheme="minorEastAsia" w:cstheme="minorEastAsia"/>
                <w:szCs w:val="21"/>
                <w:highlight w:val="none"/>
              </w:rPr>
              <w:t>支持限定配置中可指定用户通过指定的应用发布服务器对资源进行访问</w:t>
            </w:r>
            <w:r>
              <w:rPr>
                <w:rFonts w:hint="eastAsia" w:asciiTheme="minorEastAsia" w:hAnsiTheme="minorEastAsia" w:eastAsiaTheme="minorEastAsia" w:cstheme="minorEastAsia"/>
                <w:szCs w:val="21"/>
                <w:highlight w:val="none"/>
                <w:lang w:eastAsia="zh-CN"/>
              </w:rPr>
              <w:t>；</w:t>
            </w:r>
          </w:p>
          <w:p w14:paraId="48705116">
            <w:pPr>
              <w:keepNext w:val="0"/>
              <w:keepLines w:val="0"/>
              <w:numPr>
                <w:ilvl w:val="0"/>
                <w:numId w:val="0"/>
              </w:numPr>
              <w:suppressLineNumbers w:val="0"/>
              <w:spacing w:before="156" w:beforeLines="50" w:beforeAutospacing="0" w:after="156" w:afterLines="50" w:afterAutospacing="0"/>
              <w:ind w:leftChars="0" w:right="0" w:rightChars="0"/>
              <w:jc w:val="lef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kern w:val="2"/>
                <w:sz w:val="21"/>
                <w:szCs w:val="21"/>
                <w:highlight w:val="none"/>
                <w:lang w:val="en-US" w:eastAsia="zh-CN" w:bidi="ar"/>
              </w:rPr>
              <w:t>（8）</w:t>
            </w: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kern w:val="2"/>
                <w:sz w:val="21"/>
                <w:szCs w:val="21"/>
                <w:highlight w:val="none"/>
                <w:lang w:val="en-US" w:eastAsia="zh-CN" w:bidi="ar"/>
              </w:rPr>
              <w:t>运维安全管理</w:t>
            </w:r>
            <w:r>
              <w:rPr>
                <w:rFonts w:hint="eastAsia" w:asciiTheme="minorEastAsia" w:hAnsiTheme="minorEastAsia" w:eastAsiaTheme="minorEastAsia" w:cstheme="minorEastAsia"/>
                <w:sz w:val="21"/>
                <w:szCs w:val="21"/>
                <w:highlight w:val="none"/>
              </w:rPr>
              <w:t>支持自主可控终端（麒麟/统信）调用本地工具运维，无需安装单独的客户端工具</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【要求截图】</w:t>
            </w:r>
          </w:p>
          <w:p w14:paraId="2385A9AB">
            <w:pPr>
              <w:keepNext w:val="0"/>
              <w:keepLines w:val="0"/>
              <w:numPr>
                <w:ilvl w:val="0"/>
                <w:numId w:val="0"/>
              </w:numPr>
              <w:suppressLineNumbers w:val="0"/>
              <w:spacing w:before="156" w:beforeLines="50" w:beforeAutospacing="0" w:after="156" w:afterLines="50" w:afterAutospacing="0"/>
              <w:ind w:leftChars="0" w:right="0" w:rightChars="0"/>
              <w:jc w:val="left"/>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9</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支持与云平台控制台无缝对接，无需定制化天然支持云租户同步，订单同步实现安全能力与云平台高效运维</w:t>
            </w:r>
            <w:r>
              <w:rPr>
                <w:rFonts w:hint="eastAsia" w:asciiTheme="minorEastAsia" w:hAnsiTheme="minorEastAsia" w:eastAsiaTheme="minorEastAsia" w:cstheme="minorEastAsia"/>
                <w:sz w:val="21"/>
                <w:szCs w:val="21"/>
                <w:highlight w:val="none"/>
                <w:lang w:eastAsia="zh-CN"/>
              </w:rPr>
              <w:t>；</w:t>
            </w:r>
          </w:p>
          <w:p w14:paraId="46B23A37">
            <w:pPr>
              <w:pStyle w:val="3"/>
              <w:keepNext w:val="0"/>
              <w:keepLines w:val="0"/>
              <w:numPr>
                <w:ilvl w:val="0"/>
                <w:numId w:val="0"/>
              </w:numPr>
              <w:suppressLineNumbers w:val="0"/>
              <w:spacing w:before="0" w:beforeAutospacing="0" w:afterAutospacing="0" w:line="360" w:lineRule="auto"/>
              <w:ind w:leftChars="0" w:right="0" w:rightChars="0"/>
              <w:jc w:val="left"/>
              <w:rPr>
                <w:rFonts w:hint="eastAsia" w:asciiTheme="minorEastAsia" w:hAnsiTheme="minorEastAsia" w:eastAsiaTheme="minorEastAsia" w:cstheme="minorEastAsia"/>
                <w:i w:val="0"/>
                <w:iCs w:val="0"/>
                <w:color w:val="000000"/>
                <w:kern w:val="2"/>
                <w:sz w:val="21"/>
                <w:szCs w:val="21"/>
                <w:highlight w:val="none"/>
                <w:u w:val="none"/>
                <w:lang w:val="en-US" w:eastAsia="zh-CN" w:bidi="ar-SA"/>
              </w:rPr>
            </w:pP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10</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控制台支持安全组件管理跳转登录，实现安全能力策略快速配置。</w:t>
            </w:r>
          </w:p>
        </w:tc>
      </w:tr>
      <w:tr w14:paraId="5DE58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BA1D5">
            <w:pPr>
              <w:keepNext w:val="0"/>
              <w:keepLines w:val="0"/>
              <w:widowControl/>
              <w:suppressLineNumbers w:val="0"/>
              <w:jc w:val="center"/>
              <w:textAlignment w:val="center"/>
              <w:rPr>
                <w:rFonts w:hint="eastAsia" w:ascii="宋体" w:hAnsi="宋体" w:eastAsia="宋体" w:cs="宋体"/>
                <w:b w:val="0"/>
                <w:bCs w:val="0"/>
                <w:i w:val="0"/>
                <w:iCs w:val="0"/>
                <w:color w:val="000000"/>
                <w:kern w:val="2"/>
                <w:sz w:val="24"/>
                <w:szCs w:val="24"/>
                <w:highlight w:val="none"/>
                <w:u w:val="none"/>
                <w:lang w:val="en-US" w:eastAsia="zh-CN" w:bidi="ar-SA"/>
              </w:rPr>
            </w:pPr>
            <w:r>
              <w:rPr>
                <w:rFonts w:hint="eastAsia" w:ascii="宋体" w:hAnsi="宋体" w:eastAsia="宋体" w:cs="宋体"/>
                <w:b w:val="0"/>
                <w:bCs w:val="0"/>
                <w:i w:val="0"/>
                <w:iCs w:val="0"/>
                <w:color w:val="000000"/>
                <w:kern w:val="0"/>
                <w:sz w:val="24"/>
                <w:szCs w:val="24"/>
                <w:highlight w:val="none"/>
                <w:u w:val="none"/>
                <w:lang w:val="en-US" w:eastAsia="zh-CN" w:bidi="ar"/>
              </w:rPr>
              <w:t>4</w:t>
            </w:r>
          </w:p>
        </w:tc>
        <w:tc>
          <w:tcPr>
            <w:tcW w:w="900" w:type="dxa"/>
            <w:vMerge w:val="continue"/>
            <w:tcBorders>
              <w:left w:val="single" w:color="000000" w:sz="4" w:space="0"/>
              <w:right w:val="single" w:color="000000" w:sz="4" w:space="0"/>
            </w:tcBorders>
            <w:shd w:val="clear" w:color="auto" w:fill="auto"/>
            <w:noWrap/>
            <w:textDirection w:val="tbRlV"/>
            <w:vAlign w:val="center"/>
          </w:tcPr>
          <w:p w14:paraId="427B65C0">
            <w:pPr>
              <w:jc w:val="center"/>
              <w:rPr>
                <w:rFonts w:hint="eastAsia" w:ascii="宋体" w:hAnsi="宋体" w:eastAsia="宋体" w:cs="宋体"/>
                <w:b/>
                <w:bCs/>
                <w:i w:val="0"/>
                <w:iCs w:val="0"/>
                <w:color w:val="000000"/>
                <w:sz w:val="28"/>
                <w:szCs w:val="28"/>
                <w:highlight w:val="none"/>
                <w:u w:val="none"/>
              </w:rPr>
            </w:pPr>
          </w:p>
        </w:tc>
        <w:tc>
          <w:tcPr>
            <w:tcW w:w="852" w:type="dxa"/>
            <w:vMerge w:val="restart"/>
            <w:tcBorders>
              <w:top w:val="single" w:color="000000" w:sz="4" w:space="0"/>
              <w:left w:val="single" w:color="000000" w:sz="4" w:space="0"/>
              <w:right w:val="single" w:color="000000" w:sz="4" w:space="0"/>
            </w:tcBorders>
            <w:shd w:val="clear" w:color="auto" w:fill="auto"/>
            <w:vAlign w:val="center"/>
          </w:tcPr>
          <w:p w14:paraId="64155425">
            <w:pPr>
              <w:jc w:val="center"/>
              <w:rPr>
                <w:rFonts w:hint="eastAsia" w:asciiTheme="minorEastAsia" w:hAnsiTheme="minorEastAsia" w:eastAsiaTheme="minorEastAsia" w:cstheme="minorEastAsia"/>
                <w:i w:val="0"/>
                <w:iCs w:val="0"/>
                <w:color w:val="000000"/>
                <w:sz w:val="21"/>
                <w:szCs w:val="21"/>
                <w:highlight w:val="none"/>
                <w:u w:val="none"/>
                <w:lang w:val="en-US" w:eastAsia="zh-CN"/>
              </w:rPr>
            </w:pPr>
            <w:r>
              <w:rPr>
                <w:rFonts w:hint="eastAsia" w:asciiTheme="minorEastAsia" w:hAnsiTheme="minorEastAsia" w:eastAsiaTheme="minorEastAsia" w:cstheme="minorEastAsia"/>
                <w:i w:val="0"/>
                <w:iCs w:val="0"/>
                <w:color w:val="000000"/>
                <w:sz w:val="21"/>
                <w:szCs w:val="21"/>
                <w:highlight w:val="none"/>
                <w:u w:val="none"/>
                <w:lang w:val="en-US" w:eastAsia="zh-CN"/>
              </w:rPr>
              <w:t>underlay网络</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4446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pP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防火墙</w:t>
            </w:r>
          </w:p>
        </w:tc>
        <w:tc>
          <w:tcPr>
            <w:tcW w:w="63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BA32B">
            <w:pPr>
              <w:keepNext w:val="0"/>
              <w:keepLines w:val="0"/>
              <w:widowControl/>
              <w:suppressLineNumbers w:val="0"/>
              <w:tabs>
                <w:tab w:val="left" w:pos="455"/>
              </w:tabs>
              <w:jc w:val="left"/>
              <w:textAlignment w:val="cente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pP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提供互联网边界的流量管理与安全防护，集防火墙、VPN、内容过滤、上网行为管理、拒绝服务攻击等功能，≥800Mbps，支持IPsec vpn，4*10G多模。</w:t>
            </w:r>
          </w:p>
        </w:tc>
      </w:tr>
      <w:tr w14:paraId="7B69B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58" w:hRule="atLeast"/>
        </w:trPr>
        <w:tc>
          <w:tcPr>
            <w:tcW w:w="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D20BD">
            <w:pPr>
              <w:keepNext w:val="0"/>
              <w:keepLines w:val="0"/>
              <w:widowControl/>
              <w:suppressLineNumbers w:val="0"/>
              <w:jc w:val="center"/>
              <w:textAlignment w:val="center"/>
              <w:rPr>
                <w:rFonts w:hint="eastAsia" w:ascii="宋体" w:hAnsi="宋体" w:eastAsia="宋体" w:cs="宋体"/>
                <w:b w:val="0"/>
                <w:bCs w:val="0"/>
                <w:i w:val="0"/>
                <w:iCs w:val="0"/>
                <w:color w:val="000000"/>
                <w:kern w:val="2"/>
                <w:sz w:val="24"/>
                <w:szCs w:val="24"/>
                <w:highlight w:val="none"/>
                <w:u w:val="none"/>
                <w:lang w:val="en-US" w:eastAsia="zh-CN" w:bidi="ar-SA"/>
              </w:rPr>
            </w:pPr>
            <w:r>
              <w:rPr>
                <w:rFonts w:hint="eastAsia" w:ascii="宋体" w:hAnsi="宋体" w:eastAsia="宋体" w:cs="宋体"/>
                <w:b w:val="0"/>
                <w:bCs w:val="0"/>
                <w:i w:val="0"/>
                <w:iCs w:val="0"/>
                <w:color w:val="000000"/>
                <w:kern w:val="0"/>
                <w:sz w:val="24"/>
                <w:szCs w:val="24"/>
                <w:highlight w:val="none"/>
                <w:u w:val="none"/>
                <w:lang w:val="en-US" w:eastAsia="zh-CN" w:bidi="ar"/>
              </w:rPr>
              <w:t>5</w:t>
            </w:r>
          </w:p>
        </w:tc>
        <w:tc>
          <w:tcPr>
            <w:tcW w:w="900" w:type="dxa"/>
            <w:vMerge w:val="continue"/>
            <w:tcBorders>
              <w:left w:val="single" w:color="000000" w:sz="4" w:space="0"/>
              <w:right w:val="single" w:color="000000" w:sz="4" w:space="0"/>
            </w:tcBorders>
            <w:shd w:val="clear" w:color="auto" w:fill="auto"/>
            <w:noWrap/>
            <w:textDirection w:val="tbRlV"/>
            <w:vAlign w:val="center"/>
          </w:tcPr>
          <w:p w14:paraId="74599502">
            <w:pPr>
              <w:jc w:val="center"/>
              <w:rPr>
                <w:rFonts w:hint="eastAsia" w:ascii="宋体" w:hAnsi="宋体" w:eastAsia="宋体" w:cs="宋体"/>
                <w:b/>
                <w:bCs/>
                <w:i w:val="0"/>
                <w:iCs w:val="0"/>
                <w:color w:val="000000"/>
                <w:sz w:val="28"/>
                <w:szCs w:val="28"/>
                <w:highlight w:val="none"/>
                <w:u w:val="none"/>
              </w:rPr>
            </w:pPr>
          </w:p>
        </w:tc>
        <w:tc>
          <w:tcPr>
            <w:tcW w:w="852" w:type="dxa"/>
            <w:vMerge w:val="continue"/>
            <w:tcBorders>
              <w:left w:val="single" w:color="000000" w:sz="4" w:space="0"/>
              <w:right w:val="single" w:color="000000" w:sz="4" w:space="0"/>
            </w:tcBorders>
            <w:shd w:val="clear" w:color="auto" w:fill="auto"/>
            <w:vAlign w:val="center"/>
          </w:tcPr>
          <w:p w14:paraId="083F6136">
            <w:pPr>
              <w:jc w:val="center"/>
              <w:rPr>
                <w:rFonts w:hint="eastAsia" w:asciiTheme="minorEastAsia" w:hAnsiTheme="minorEastAsia" w:eastAsiaTheme="minorEastAsia" w:cstheme="minorEastAsia"/>
                <w:i w:val="0"/>
                <w:iCs w:val="0"/>
                <w:color w:val="000000"/>
                <w:sz w:val="21"/>
                <w:szCs w:val="21"/>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A93B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pP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管理&amp;业务交换机（10GE）</w:t>
            </w:r>
          </w:p>
        </w:tc>
        <w:tc>
          <w:tcPr>
            <w:tcW w:w="63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B42B2">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核心交换机、业务接入交换机、管理接入交换机等重要设备需要支持冗余备份</w:t>
            </w:r>
            <w:r>
              <w:rPr>
                <w:rFonts w:hint="eastAsia" w:asciiTheme="minorEastAsia" w:hAnsiTheme="minorEastAsia" w:eastAsiaTheme="minorEastAsia" w:cstheme="minorEastAsia"/>
                <w:sz w:val="21"/>
                <w:szCs w:val="21"/>
                <w:highlight w:val="none"/>
                <w:lang w:eastAsia="zh-CN"/>
              </w:rPr>
              <w:t>。</w:t>
            </w:r>
          </w:p>
          <w:p w14:paraId="5B17C77D">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pPr>
          </w:p>
        </w:tc>
      </w:tr>
      <w:tr w14:paraId="7D58E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58C5E">
            <w:pPr>
              <w:keepNext w:val="0"/>
              <w:keepLines w:val="0"/>
              <w:widowControl/>
              <w:suppressLineNumbers w:val="0"/>
              <w:jc w:val="center"/>
              <w:textAlignment w:val="center"/>
              <w:rPr>
                <w:rFonts w:hint="eastAsia" w:ascii="宋体" w:hAnsi="宋体" w:eastAsia="宋体" w:cs="宋体"/>
                <w:b w:val="0"/>
                <w:bCs w:val="0"/>
                <w:i w:val="0"/>
                <w:iCs w:val="0"/>
                <w:color w:val="000000"/>
                <w:kern w:val="2"/>
                <w:sz w:val="24"/>
                <w:szCs w:val="24"/>
                <w:highlight w:val="none"/>
                <w:u w:val="none"/>
                <w:lang w:val="en-US" w:eastAsia="zh-CN" w:bidi="ar-SA"/>
              </w:rPr>
            </w:pPr>
            <w:r>
              <w:rPr>
                <w:rFonts w:hint="eastAsia" w:ascii="宋体" w:hAnsi="宋体" w:eastAsia="宋体" w:cs="宋体"/>
                <w:b w:val="0"/>
                <w:bCs w:val="0"/>
                <w:i w:val="0"/>
                <w:iCs w:val="0"/>
                <w:color w:val="000000"/>
                <w:kern w:val="0"/>
                <w:sz w:val="24"/>
                <w:szCs w:val="24"/>
                <w:highlight w:val="none"/>
                <w:u w:val="none"/>
                <w:lang w:val="en-US" w:eastAsia="zh-CN" w:bidi="ar"/>
              </w:rPr>
              <w:t>6</w:t>
            </w:r>
          </w:p>
        </w:tc>
        <w:tc>
          <w:tcPr>
            <w:tcW w:w="900" w:type="dxa"/>
            <w:vMerge w:val="continue"/>
            <w:tcBorders>
              <w:left w:val="single" w:color="000000" w:sz="4" w:space="0"/>
              <w:right w:val="single" w:color="000000" w:sz="4" w:space="0"/>
            </w:tcBorders>
            <w:shd w:val="clear" w:color="auto" w:fill="auto"/>
            <w:noWrap/>
            <w:textDirection w:val="tbRlV"/>
            <w:vAlign w:val="center"/>
          </w:tcPr>
          <w:p w14:paraId="4C6CE791">
            <w:pPr>
              <w:jc w:val="center"/>
              <w:rPr>
                <w:rFonts w:hint="eastAsia" w:ascii="宋体" w:hAnsi="宋体" w:eastAsia="宋体" w:cs="宋体"/>
                <w:b/>
                <w:bCs/>
                <w:i w:val="0"/>
                <w:iCs w:val="0"/>
                <w:color w:val="000000"/>
                <w:sz w:val="28"/>
                <w:szCs w:val="28"/>
                <w:highlight w:val="none"/>
                <w:u w:val="none"/>
              </w:rPr>
            </w:pPr>
          </w:p>
        </w:tc>
        <w:tc>
          <w:tcPr>
            <w:tcW w:w="852" w:type="dxa"/>
            <w:vMerge w:val="continue"/>
            <w:tcBorders>
              <w:left w:val="single" w:color="000000" w:sz="4" w:space="0"/>
              <w:right w:val="single" w:color="000000" w:sz="4" w:space="0"/>
            </w:tcBorders>
            <w:shd w:val="clear" w:color="auto" w:fill="auto"/>
            <w:vAlign w:val="center"/>
          </w:tcPr>
          <w:p w14:paraId="210A5C67">
            <w:pPr>
              <w:jc w:val="center"/>
              <w:rPr>
                <w:rFonts w:hint="eastAsia" w:asciiTheme="minorEastAsia" w:hAnsiTheme="minorEastAsia" w:eastAsiaTheme="minorEastAsia" w:cstheme="minorEastAsia"/>
                <w:i w:val="0"/>
                <w:iCs w:val="0"/>
                <w:color w:val="000000"/>
                <w:sz w:val="21"/>
                <w:szCs w:val="21"/>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63F1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pP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管理接入交换机（GE）</w:t>
            </w:r>
          </w:p>
        </w:tc>
        <w:tc>
          <w:tcPr>
            <w:tcW w:w="63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94D2D">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 w:val="21"/>
                <w:szCs w:val="21"/>
                <w:highlight w:val="none"/>
                <w:lang w:eastAsia="zh-CN"/>
              </w:rPr>
            </w:pPr>
            <w:r>
              <w:rPr>
                <w:rFonts w:hint="eastAsia" w:asciiTheme="minorEastAsia" w:hAnsiTheme="minorEastAsia" w:eastAsiaTheme="minorEastAsia" w:cstheme="minorEastAsia"/>
                <w:sz w:val="21"/>
                <w:szCs w:val="21"/>
                <w:highlight w:val="none"/>
              </w:rPr>
              <w:t>核心交换机、业务接入交换机、管理接入交换机等重要设备需要支持冗余备份</w:t>
            </w:r>
            <w:r>
              <w:rPr>
                <w:rFonts w:hint="eastAsia" w:asciiTheme="minorEastAsia" w:hAnsiTheme="minorEastAsia" w:eastAsiaTheme="minorEastAsia" w:cstheme="minorEastAsia"/>
                <w:sz w:val="21"/>
                <w:szCs w:val="21"/>
                <w:highlight w:val="none"/>
                <w:lang w:eastAsia="zh-CN"/>
              </w:rPr>
              <w:t>。</w:t>
            </w:r>
          </w:p>
          <w:p w14:paraId="3E41A8B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pPr>
          </w:p>
        </w:tc>
      </w:tr>
      <w:tr w14:paraId="60E7D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1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2C560">
            <w:pPr>
              <w:keepNext w:val="0"/>
              <w:keepLines w:val="0"/>
              <w:widowControl/>
              <w:suppressLineNumbers w:val="0"/>
              <w:jc w:val="center"/>
              <w:textAlignment w:val="center"/>
              <w:rPr>
                <w:rFonts w:hint="default" w:ascii="宋体" w:hAnsi="宋体" w:eastAsia="宋体" w:cs="宋体"/>
                <w:b w:val="0"/>
                <w:bCs w:val="0"/>
                <w:i w:val="0"/>
                <w:iCs w:val="0"/>
                <w:color w:val="000000"/>
                <w:sz w:val="24"/>
                <w:szCs w:val="24"/>
                <w:highlight w:val="none"/>
                <w:u w:val="none"/>
                <w:lang w:val="en-US"/>
              </w:rPr>
            </w:pPr>
            <w:r>
              <w:rPr>
                <w:rFonts w:hint="eastAsia" w:ascii="宋体" w:hAnsi="宋体" w:eastAsia="宋体" w:cs="宋体"/>
                <w:b w:val="0"/>
                <w:bCs w:val="0"/>
                <w:i w:val="0"/>
                <w:iCs w:val="0"/>
                <w:color w:val="000000"/>
                <w:kern w:val="0"/>
                <w:sz w:val="24"/>
                <w:szCs w:val="24"/>
                <w:highlight w:val="none"/>
                <w:u w:val="none"/>
                <w:lang w:val="en-US" w:eastAsia="zh-CN" w:bidi="ar"/>
              </w:rPr>
              <w:t>7</w:t>
            </w:r>
          </w:p>
        </w:tc>
        <w:tc>
          <w:tcPr>
            <w:tcW w:w="900" w:type="dxa"/>
            <w:vMerge w:val="continue"/>
            <w:tcBorders>
              <w:left w:val="single" w:color="000000" w:sz="4" w:space="0"/>
              <w:right w:val="single" w:color="000000" w:sz="4" w:space="0"/>
            </w:tcBorders>
            <w:shd w:val="clear" w:color="auto" w:fill="auto"/>
            <w:noWrap/>
            <w:textDirection w:val="tbRlV"/>
            <w:vAlign w:val="center"/>
          </w:tcPr>
          <w:p w14:paraId="14C02985">
            <w:pPr>
              <w:jc w:val="center"/>
              <w:rPr>
                <w:rFonts w:hint="eastAsia" w:ascii="宋体" w:hAnsi="宋体" w:eastAsia="宋体" w:cs="宋体"/>
                <w:b/>
                <w:bCs/>
                <w:i w:val="0"/>
                <w:iCs w:val="0"/>
                <w:color w:val="000000"/>
                <w:sz w:val="28"/>
                <w:szCs w:val="28"/>
                <w:highlight w:val="none"/>
                <w:u w:val="none"/>
              </w:rPr>
            </w:pPr>
          </w:p>
        </w:tc>
        <w:tc>
          <w:tcPr>
            <w:tcW w:w="852" w:type="dxa"/>
            <w:vMerge w:val="continue"/>
            <w:tcBorders>
              <w:left w:val="single" w:color="000000" w:sz="4" w:space="0"/>
              <w:right w:val="single" w:color="000000" w:sz="4" w:space="0"/>
            </w:tcBorders>
            <w:shd w:val="clear" w:color="auto" w:fill="auto"/>
            <w:vAlign w:val="center"/>
          </w:tcPr>
          <w:p w14:paraId="2AD121DF">
            <w:pPr>
              <w:jc w:val="center"/>
              <w:rPr>
                <w:rFonts w:hint="eastAsia" w:asciiTheme="minorEastAsia" w:hAnsiTheme="minorEastAsia" w:eastAsiaTheme="minorEastAsia" w:cstheme="minorEastAsia"/>
                <w:i w:val="0"/>
                <w:iCs w:val="0"/>
                <w:color w:val="000000"/>
                <w:sz w:val="21"/>
                <w:szCs w:val="21"/>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6F37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pP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管理IPMI（GE）</w:t>
            </w:r>
          </w:p>
        </w:tc>
        <w:tc>
          <w:tcPr>
            <w:tcW w:w="63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E9708">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1</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支持UnderLay（VLAN）类型的网络，</w:t>
            </w:r>
            <w:r>
              <w:rPr>
                <w:rFonts w:hint="eastAsia" w:asciiTheme="minorEastAsia" w:hAnsiTheme="minorEastAsia" w:eastAsiaTheme="minorEastAsia" w:cstheme="minorEastAsia"/>
                <w:sz w:val="21"/>
                <w:szCs w:val="21"/>
                <w:highlight w:val="none"/>
                <w:lang w:val="en-US" w:eastAsia="zh-CN"/>
              </w:rPr>
              <w:t>支持</w:t>
            </w:r>
            <w:r>
              <w:rPr>
                <w:rFonts w:hint="eastAsia" w:asciiTheme="minorEastAsia" w:hAnsiTheme="minorEastAsia" w:eastAsiaTheme="minorEastAsia" w:cstheme="minorEastAsia"/>
                <w:sz w:val="21"/>
                <w:szCs w:val="21"/>
                <w:highlight w:val="none"/>
              </w:rPr>
              <w:t>基于云原生的Kube-ovn技术架构</w:t>
            </w:r>
            <w:r>
              <w:rPr>
                <w:rFonts w:hint="eastAsia" w:asciiTheme="minorEastAsia" w:hAnsiTheme="minorEastAsia" w:eastAsiaTheme="minorEastAsia" w:cstheme="minorEastAsia"/>
                <w:sz w:val="21"/>
                <w:szCs w:val="21"/>
                <w:highlight w:val="none"/>
                <w:lang w:val="en-US" w:eastAsia="zh-CN"/>
              </w:rPr>
              <w:t>的网络能力</w:t>
            </w:r>
            <w:r>
              <w:rPr>
                <w:rFonts w:hint="eastAsia" w:asciiTheme="minorEastAsia" w:hAnsiTheme="minorEastAsia" w:eastAsiaTheme="minorEastAsia" w:cstheme="minorEastAsia"/>
                <w:sz w:val="21"/>
                <w:szCs w:val="21"/>
                <w:highlight w:val="none"/>
              </w:rPr>
              <w:t>，提供不同的网络服务：包括</w:t>
            </w:r>
            <w:r>
              <w:rPr>
                <w:rFonts w:hint="eastAsia" w:asciiTheme="minorEastAsia" w:hAnsiTheme="minorEastAsia" w:eastAsiaTheme="minorEastAsia" w:cstheme="minorEastAsia"/>
                <w:strike w:val="0"/>
                <w:sz w:val="21"/>
                <w:szCs w:val="21"/>
                <w:highlight w:val="none"/>
                <w:lang w:val="en-US" w:eastAsia="zh-CN"/>
              </w:rPr>
              <w:t>VLAN网络、</w:t>
            </w:r>
            <w:r>
              <w:rPr>
                <w:rFonts w:hint="eastAsia" w:asciiTheme="minorEastAsia" w:hAnsiTheme="minorEastAsia" w:eastAsiaTheme="minorEastAsia" w:cstheme="minorEastAsia"/>
                <w:sz w:val="21"/>
                <w:szCs w:val="21"/>
                <w:highlight w:val="none"/>
              </w:rPr>
              <w:t>子网、</w:t>
            </w:r>
            <w:r>
              <w:rPr>
                <w:rFonts w:hint="eastAsia" w:asciiTheme="minorEastAsia" w:hAnsiTheme="minorEastAsia" w:eastAsiaTheme="minorEastAsia" w:cstheme="minorEastAsia"/>
                <w:sz w:val="21"/>
                <w:szCs w:val="21"/>
                <w:highlight w:val="none"/>
                <w:lang w:val="en-US" w:eastAsia="zh-CN"/>
              </w:rPr>
              <w:t>网络ACL、</w:t>
            </w:r>
            <w:r>
              <w:rPr>
                <w:rFonts w:hint="eastAsia" w:asciiTheme="minorEastAsia" w:hAnsiTheme="minorEastAsia" w:eastAsiaTheme="minorEastAsia" w:cstheme="minorEastAsia"/>
                <w:sz w:val="21"/>
                <w:szCs w:val="21"/>
                <w:highlight w:val="none"/>
              </w:rPr>
              <w:t>安全组、虚拟网卡</w:t>
            </w:r>
            <w:r>
              <w:rPr>
                <w:rFonts w:hint="eastAsia" w:asciiTheme="minorEastAsia" w:hAnsiTheme="minorEastAsia" w:eastAsiaTheme="minorEastAsia" w:cstheme="minorEastAsia"/>
                <w:sz w:val="21"/>
                <w:szCs w:val="21"/>
                <w:highlight w:val="none"/>
                <w:lang w:val="en-US" w:eastAsia="zh-CN"/>
              </w:rPr>
              <w:t>、HA VIP</w:t>
            </w:r>
            <w:r>
              <w:rPr>
                <w:rFonts w:hint="eastAsia" w:asciiTheme="minorEastAsia" w:hAnsiTheme="minorEastAsia" w:eastAsiaTheme="minorEastAsia" w:cstheme="minorEastAsia"/>
                <w:sz w:val="21"/>
                <w:szCs w:val="21"/>
                <w:highlight w:val="none"/>
              </w:rPr>
              <w:t>等功能【要求截图】；</w:t>
            </w:r>
          </w:p>
          <w:p w14:paraId="52643367">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2</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支持IPv4、IPv6</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双栈</w:t>
            </w:r>
            <w:r>
              <w:rPr>
                <w:rFonts w:hint="eastAsia" w:asciiTheme="minorEastAsia" w:hAnsiTheme="minorEastAsia" w:eastAsiaTheme="minorEastAsia" w:cstheme="minorEastAsia"/>
                <w:sz w:val="21"/>
                <w:szCs w:val="21"/>
                <w:highlight w:val="none"/>
              </w:rPr>
              <w:t>网络能力【要求截图】；</w:t>
            </w:r>
          </w:p>
          <w:p w14:paraId="2B5D65BC">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3</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支持不依赖SDN技术的NAT</w:t>
            </w:r>
            <w:r>
              <w:rPr>
                <w:rFonts w:hint="eastAsia" w:asciiTheme="minorEastAsia" w:hAnsiTheme="minorEastAsia" w:eastAsiaTheme="minorEastAsia" w:cstheme="minorEastAsia"/>
                <w:sz w:val="21"/>
                <w:szCs w:val="21"/>
                <w:highlight w:val="none"/>
                <w:lang w:val="en-US" w:eastAsia="zh-CN"/>
              </w:rPr>
              <w:t>能力</w:t>
            </w:r>
            <w:r>
              <w:rPr>
                <w:rFonts w:hint="eastAsia" w:asciiTheme="minorEastAsia" w:hAnsiTheme="minorEastAsia" w:eastAsiaTheme="minorEastAsia" w:cstheme="minorEastAsia"/>
                <w:sz w:val="21"/>
                <w:szCs w:val="21"/>
                <w:highlight w:val="none"/>
              </w:rPr>
              <w:t>，</w:t>
            </w:r>
            <w:r>
              <w:rPr>
                <w:rFonts w:hint="eastAsia" w:asciiTheme="minorEastAsia" w:hAnsiTheme="minorEastAsia" w:eastAsiaTheme="minorEastAsia" w:cstheme="minorEastAsia"/>
                <w:sz w:val="21"/>
                <w:szCs w:val="21"/>
                <w:highlight w:val="none"/>
                <w:lang w:val="en-US" w:eastAsia="zh-CN"/>
              </w:rPr>
              <w:t>基于NAT能力可提供1：1映射能力，实现内网与外网的1：1映射。支持</w:t>
            </w:r>
            <w:r>
              <w:rPr>
                <w:rFonts w:hint="eastAsia" w:asciiTheme="minorEastAsia" w:hAnsiTheme="minorEastAsia" w:eastAsiaTheme="minorEastAsia" w:cstheme="minorEastAsia"/>
                <w:sz w:val="21"/>
                <w:szCs w:val="21"/>
                <w:highlight w:val="none"/>
              </w:rPr>
              <w:t>创建</w:t>
            </w:r>
            <w:r>
              <w:rPr>
                <w:rFonts w:hint="eastAsia" w:asciiTheme="minorEastAsia" w:hAnsiTheme="minorEastAsia" w:eastAsiaTheme="minorEastAsia" w:cstheme="minorEastAsia"/>
                <w:sz w:val="21"/>
                <w:szCs w:val="21"/>
                <w:highlight w:val="none"/>
                <w:lang w:val="en-US" w:eastAsia="zh-CN"/>
              </w:rPr>
              <w:t>S</w:t>
            </w:r>
            <w:r>
              <w:rPr>
                <w:rFonts w:hint="eastAsia" w:asciiTheme="minorEastAsia" w:hAnsiTheme="minorEastAsia" w:eastAsiaTheme="minorEastAsia" w:cstheme="minorEastAsia"/>
                <w:sz w:val="21"/>
                <w:szCs w:val="21"/>
                <w:highlight w:val="none"/>
              </w:rPr>
              <w:t>NAT规则</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支持子网上的云主机可通过SNAT规则访问外部业务，支持DNAT规则，允许外部业务访问小站内部业务。</w:t>
            </w:r>
            <w:r>
              <w:rPr>
                <w:rFonts w:hint="eastAsia" w:asciiTheme="minorEastAsia" w:hAnsiTheme="minorEastAsia" w:eastAsiaTheme="minorEastAsia" w:cstheme="minorEastAsia"/>
                <w:sz w:val="21"/>
                <w:szCs w:val="21"/>
                <w:highlight w:val="none"/>
              </w:rPr>
              <w:t>【要求截图】；</w:t>
            </w:r>
          </w:p>
          <w:p w14:paraId="22BA01B1">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4</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支持安全组功能，实现根据不同的协议、端口和IP地址范围对入站和出站进行控制，添加删除安全组规则【要求截图】；</w:t>
            </w:r>
          </w:p>
          <w:p w14:paraId="6BB3D29F">
            <w:pPr>
              <w:pStyle w:val="10"/>
              <w:keepNext w:val="0"/>
              <w:keepLines w:val="0"/>
              <w:widowControl/>
              <w:numPr>
                <w:ilvl w:val="0"/>
                <w:numId w:val="0"/>
              </w:numPr>
              <w:suppressLineNumbers w:val="0"/>
              <w:spacing w:before="0" w:beforeAutospacing="0" w:after="0" w:afterAutospacing="0" w:line="360" w:lineRule="auto"/>
              <w:ind w:leftChars="0" w:right="0" w:rightChars="0"/>
              <w:jc w:val="left"/>
              <w:textAlignment w:val="center"/>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lang w:val="en-US" w:eastAsia="zh-CN"/>
              </w:rPr>
              <w:t>5</w:t>
            </w:r>
            <w:r>
              <w:rPr>
                <w:rFonts w:hint="eastAsia" w:asciiTheme="minorEastAsia" w:hAnsiTheme="minorEastAsia" w:eastAsiaTheme="minorEastAsia" w:cstheme="minorEastAsia"/>
                <w:sz w:val="21"/>
                <w:szCs w:val="21"/>
                <w:highlight w:val="none"/>
                <w:lang w:eastAsia="zh-CN"/>
              </w:rPr>
              <w:t>）</w:t>
            </w:r>
            <w:r>
              <w:rPr>
                <w:rFonts w:hint="eastAsia" w:asciiTheme="minorEastAsia" w:hAnsiTheme="minorEastAsia" w:eastAsiaTheme="minorEastAsia" w:cstheme="minorEastAsia"/>
                <w:sz w:val="21"/>
                <w:szCs w:val="21"/>
                <w:highlight w:val="none"/>
              </w:rPr>
              <w:t>创建子网可指定内网网段、</w:t>
            </w:r>
            <w:r>
              <w:rPr>
                <w:rFonts w:hint="eastAsia" w:asciiTheme="minorEastAsia" w:hAnsiTheme="minorEastAsia" w:eastAsiaTheme="minorEastAsia" w:cstheme="minorEastAsia"/>
                <w:sz w:val="21"/>
                <w:szCs w:val="21"/>
                <w:highlight w:val="none"/>
                <w:lang w:val="en-US" w:eastAsia="zh-CN"/>
              </w:rPr>
              <w:t>VLAN号</w:t>
            </w:r>
            <w:r>
              <w:rPr>
                <w:rFonts w:hint="eastAsia" w:asciiTheme="minorEastAsia" w:hAnsiTheme="minorEastAsia" w:eastAsiaTheme="minorEastAsia" w:cstheme="minorEastAsia"/>
                <w:sz w:val="21"/>
                <w:szCs w:val="21"/>
                <w:highlight w:val="none"/>
              </w:rPr>
              <w:t>、网关等信息，子网可查看内网IP使用情况。</w:t>
            </w:r>
            <w:r>
              <w:rPr>
                <w:rFonts w:hint="eastAsia" w:asciiTheme="minorEastAsia" w:hAnsiTheme="minorEastAsia" w:eastAsiaTheme="minorEastAsia" w:cstheme="minorEastAsia"/>
                <w:sz w:val="21"/>
                <w:szCs w:val="21"/>
                <w:highlight w:val="none"/>
                <w:lang w:val="en-US" w:eastAsia="zh-CN"/>
              </w:rPr>
              <w:t>支持按需设定子网中的预留IP</w:t>
            </w:r>
            <w:r>
              <w:rPr>
                <w:rFonts w:hint="eastAsia" w:asciiTheme="minorEastAsia" w:hAnsiTheme="minorEastAsia" w:eastAsiaTheme="minorEastAsia" w:cstheme="minorEastAsia"/>
                <w:sz w:val="21"/>
                <w:szCs w:val="21"/>
                <w:highlight w:val="none"/>
                <w:lang w:eastAsia="zh-CN"/>
              </w:rPr>
              <w:t>，预留IP不会自动分配给云主机。</w:t>
            </w:r>
          </w:p>
          <w:p w14:paraId="7CC9F75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pPr>
            <w:r>
              <w:rPr>
                <w:rFonts w:hint="eastAsia" w:asciiTheme="minorEastAsia" w:hAnsiTheme="minorEastAsia" w:eastAsiaTheme="minorEastAsia" w:cstheme="minorEastAsia"/>
                <w:sz w:val="21"/>
                <w:szCs w:val="21"/>
                <w:highlight w:val="none"/>
                <w:lang w:val="en-US" w:eastAsia="zh-CN"/>
              </w:rPr>
              <w:t>（6）支持与小站外部的网络实现二层互通</w:t>
            </w:r>
          </w:p>
        </w:tc>
      </w:tr>
      <w:bookmarkEnd w:id="0"/>
      <w:tr w14:paraId="61E9D2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19"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2A7155A3">
            <w:pPr>
              <w:keepNext w:val="0"/>
              <w:keepLines w:val="0"/>
              <w:widowControl/>
              <w:suppressLineNumbers w:val="0"/>
              <w:jc w:val="center"/>
              <w:textAlignment w:val="center"/>
              <w:rPr>
                <w:rFonts w:hint="default" w:ascii="宋体" w:hAnsi="宋体" w:eastAsia="宋体" w:cs="宋体"/>
                <w:b w:val="0"/>
                <w:bCs w:val="0"/>
                <w:i w:val="0"/>
                <w:iCs w:val="0"/>
                <w:color w:val="000000"/>
                <w:sz w:val="24"/>
                <w:szCs w:val="24"/>
                <w:highlight w:val="none"/>
                <w:u w:val="none"/>
                <w:lang w:val="en-US"/>
              </w:rPr>
            </w:pPr>
            <w:r>
              <w:rPr>
                <w:rFonts w:hint="eastAsia" w:ascii="宋体" w:hAnsi="宋体" w:eastAsia="宋体" w:cs="宋体"/>
                <w:b w:val="0"/>
                <w:bCs w:val="0"/>
                <w:i w:val="0"/>
                <w:iCs w:val="0"/>
                <w:color w:val="000000"/>
                <w:kern w:val="0"/>
                <w:sz w:val="24"/>
                <w:szCs w:val="24"/>
                <w:highlight w:val="none"/>
                <w:u w:val="none"/>
                <w:lang w:val="en-US" w:eastAsia="zh-CN" w:bidi="ar"/>
              </w:rPr>
              <w:t>8</w:t>
            </w:r>
          </w:p>
        </w:tc>
        <w:tc>
          <w:tcPr>
            <w:tcW w:w="900" w:type="dxa"/>
            <w:vMerge w:val="restart"/>
            <w:tcBorders>
              <w:top w:val="single" w:color="auto" w:sz="4" w:space="0"/>
              <w:left w:val="single" w:color="auto" w:sz="4" w:space="0"/>
              <w:right w:val="single" w:color="auto" w:sz="4" w:space="0"/>
            </w:tcBorders>
            <w:shd w:val="clear" w:color="auto" w:fill="auto"/>
            <w:noWrap/>
            <w:textDirection w:val="tbRlV"/>
            <w:vAlign w:val="center"/>
          </w:tcPr>
          <w:p w14:paraId="18E28A32">
            <w:pPr>
              <w:jc w:val="center"/>
              <w:rPr>
                <w:rFonts w:hint="default" w:ascii="宋体" w:hAnsi="宋体" w:eastAsia="宋体" w:cs="宋体"/>
                <w:b/>
                <w:bCs/>
                <w:i w:val="0"/>
                <w:iCs w:val="0"/>
                <w:color w:val="000000"/>
                <w:sz w:val="28"/>
                <w:szCs w:val="28"/>
                <w:highlight w:val="none"/>
                <w:u w:val="none"/>
                <w:lang w:val="en-US" w:eastAsia="zh-CN"/>
              </w:rPr>
            </w:pPr>
            <w:r>
              <w:rPr>
                <w:rFonts w:hint="eastAsia" w:ascii="宋体" w:hAnsi="宋体" w:eastAsia="宋体" w:cs="宋体"/>
                <w:b/>
                <w:bCs/>
                <w:i w:val="0"/>
                <w:iCs w:val="0"/>
                <w:color w:val="000000"/>
                <w:sz w:val="28"/>
                <w:szCs w:val="28"/>
                <w:highlight w:val="none"/>
                <w:u w:val="none"/>
                <w:lang w:val="en-US" w:eastAsia="zh-CN"/>
              </w:rPr>
              <w:t>硬件配套及办公设备</w:t>
            </w: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3C588246">
            <w:pPr>
              <w:jc w:val="center"/>
              <w:rPr>
                <w:rFonts w:hint="eastAsia" w:asciiTheme="minorEastAsia" w:hAnsiTheme="minorEastAsia" w:eastAsiaTheme="minorEastAsia" w:cstheme="minorEastAsia"/>
                <w:i w:val="0"/>
                <w:iCs w:val="0"/>
                <w:color w:val="000000"/>
                <w:sz w:val="21"/>
                <w:szCs w:val="21"/>
                <w:highlight w:val="none"/>
                <w:u w:val="none"/>
                <w:lang w:val="en-US" w:eastAsia="zh-CN"/>
              </w:rPr>
            </w:pPr>
            <w:r>
              <w:rPr>
                <w:rFonts w:hint="eastAsia" w:asciiTheme="minorEastAsia" w:hAnsiTheme="minorEastAsia" w:eastAsiaTheme="minorEastAsia" w:cstheme="minorEastAsia"/>
                <w:i w:val="0"/>
                <w:iCs w:val="0"/>
                <w:color w:val="000000"/>
                <w:sz w:val="21"/>
                <w:szCs w:val="21"/>
                <w:highlight w:val="none"/>
                <w:u w:val="none"/>
                <w:lang w:val="en-US" w:eastAsia="zh-CN"/>
              </w:rPr>
              <w:t>驾驶舱展示</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772D022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pP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监管大屏</w:t>
            </w:r>
          </w:p>
        </w:tc>
        <w:tc>
          <w:tcPr>
            <w:tcW w:w="6378"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6008996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pPr>
            <w:r>
              <w:rPr>
                <w:rFonts w:hint="eastAsia" w:asciiTheme="minorEastAsia" w:hAnsiTheme="minorEastAsia" w:eastAsiaTheme="minorEastAsia" w:cstheme="minorEastAsia"/>
                <w:sz w:val="21"/>
                <w:szCs w:val="21"/>
                <w:highlight w:val="none"/>
                <w:lang w:val="en-US" w:eastAsia="zh-CN"/>
              </w:rPr>
              <w:t>室内全彩P1.5-H，模组分辨率</w:t>
            </w:r>
            <w:r>
              <w:rPr>
                <w:rFonts w:hint="eastAsia" w:asciiTheme="minorEastAsia" w:hAnsiTheme="minorEastAsia" w:cstheme="minorEastAsia"/>
                <w:i w:val="0"/>
                <w:iCs w:val="0"/>
                <w:color w:val="000000"/>
                <w:kern w:val="2"/>
                <w:sz w:val="21"/>
                <w:szCs w:val="21"/>
                <w:highlight w:val="none"/>
                <w:u w:val="none"/>
                <w:lang w:val="en-US" w:eastAsia="zh-CN" w:bidi="ar-SA"/>
              </w:rPr>
              <w:t>≥</w:t>
            </w:r>
            <w:r>
              <w:rPr>
                <w:rFonts w:hint="eastAsia" w:asciiTheme="minorEastAsia" w:hAnsiTheme="minorEastAsia" w:eastAsiaTheme="minorEastAsia" w:cstheme="minorEastAsia"/>
                <w:sz w:val="21"/>
                <w:szCs w:val="21"/>
                <w:highlight w:val="none"/>
                <w:lang w:val="en-US" w:eastAsia="zh-CN"/>
              </w:rPr>
              <w:t>208*104，总像素点</w:t>
            </w:r>
            <w:r>
              <w:rPr>
                <w:rFonts w:hint="eastAsia" w:asciiTheme="minorEastAsia" w:hAnsiTheme="minorEastAsia" w:cstheme="minorEastAsia"/>
                <w:i w:val="0"/>
                <w:iCs w:val="0"/>
                <w:color w:val="000000"/>
                <w:kern w:val="2"/>
                <w:sz w:val="21"/>
                <w:szCs w:val="21"/>
                <w:highlight w:val="none"/>
                <w:u w:val="none"/>
                <w:lang w:val="en-US" w:eastAsia="zh-CN" w:bidi="ar-SA"/>
              </w:rPr>
              <w:t>≥</w:t>
            </w:r>
            <w:r>
              <w:rPr>
                <w:rFonts w:hint="eastAsia" w:asciiTheme="minorEastAsia" w:hAnsiTheme="minorEastAsia" w:eastAsiaTheme="minorEastAsia" w:cstheme="minorEastAsia"/>
                <w:sz w:val="21"/>
                <w:szCs w:val="21"/>
                <w:highlight w:val="none"/>
                <w:lang w:val="en-US" w:eastAsia="zh-CN"/>
              </w:rPr>
              <w:t>3937024，含安装调试（包含底座）。尺寸：显示尺寸：</w:t>
            </w:r>
            <w:r>
              <w:rPr>
                <w:rFonts w:hint="eastAsia" w:asciiTheme="minorEastAsia" w:hAnsiTheme="minorEastAsia" w:cstheme="minorEastAsia"/>
                <w:i w:val="0"/>
                <w:iCs w:val="0"/>
                <w:color w:val="000000"/>
                <w:kern w:val="2"/>
                <w:sz w:val="21"/>
                <w:szCs w:val="21"/>
                <w:highlight w:val="none"/>
                <w:u w:val="none"/>
                <w:lang w:val="en-US" w:eastAsia="zh-CN" w:bidi="ar-SA"/>
              </w:rPr>
              <w:t>≥</w:t>
            </w:r>
            <w:r>
              <w:rPr>
                <w:rFonts w:hint="eastAsia" w:asciiTheme="minorEastAsia" w:hAnsiTheme="minorEastAsia" w:eastAsiaTheme="minorEastAsia" w:cstheme="minorEastAsia"/>
                <w:sz w:val="21"/>
                <w:szCs w:val="21"/>
                <w:highlight w:val="none"/>
                <w:lang w:val="en-US" w:eastAsia="zh-CN"/>
              </w:rPr>
              <w:t>长4.48</w:t>
            </w:r>
            <w:r>
              <w:rPr>
                <w:rFonts w:hint="eastAsia" w:asciiTheme="minorEastAsia" w:hAnsiTheme="minorEastAsia" w:cstheme="minorEastAsia"/>
                <w:sz w:val="21"/>
                <w:szCs w:val="21"/>
                <w:highlight w:val="none"/>
                <w:lang w:val="en-US" w:eastAsia="zh-CN"/>
              </w:rPr>
              <w:t>m</w:t>
            </w:r>
            <w:r>
              <w:rPr>
                <w:rFonts w:hint="eastAsia" w:asciiTheme="minorEastAsia" w:hAnsiTheme="minorEastAsia" w:eastAsiaTheme="minorEastAsia" w:cstheme="minorEastAsia"/>
                <w:sz w:val="21"/>
                <w:szCs w:val="21"/>
                <w:highlight w:val="none"/>
                <w:lang w:val="en-US" w:eastAsia="zh-CN"/>
              </w:rPr>
              <w:t>*宽2.08</w:t>
            </w:r>
            <w:r>
              <w:rPr>
                <w:rFonts w:hint="eastAsia" w:asciiTheme="minorEastAsia" w:hAnsiTheme="minorEastAsia" w:cstheme="minorEastAsia"/>
                <w:sz w:val="21"/>
                <w:szCs w:val="21"/>
                <w:highlight w:val="none"/>
                <w:lang w:val="en-US" w:eastAsia="zh-CN"/>
              </w:rPr>
              <w:t>m</w:t>
            </w:r>
            <w:r>
              <w:rPr>
                <w:rFonts w:hint="eastAsia" w:asciiTheme="minorEastAsia" w:hAnsiTheme="minorEastAsia" w:eastAsiaTheme="minorEastAsia" w:cstheme="minorEastAsia"/>
                <w:sz w:val="21"/>
                <w:szCs w:val="21"/>
                <w:highlight w:val="none"/>
                <w:lang w:val="en-US" w:eastAsia="zh-CN"/>
              </w:rPr>
              <w:t>。平整度：±1.5mm，亮度：</w:t>
            </w:r>
            <w:r>
              <w:rPr>
                <w:rFonts w:hint="eastAsia" w:asciiTheme="minorEastAsia" w:hAnsiTheme="minorEastAsia" w:cstheme="minorEastAsia"/>
                <w:i w:val="0"/>
                <w:iCs w:val="0"/>
                <w:color w:val="000000"/>
                <w:kern w:val="2"/>
                <w:sz w:val="21"/>
                <w:szCs w:val="21"/>
                <w:highlight w:val="none"/>
                <w:u w:val="none"/>
                <w:lang w:val="en-US" w:eastAsia="zh-CN" w:bidi="ar-SA"/>
              </w:rPr>
              <w:t>≥</w:t>
            </w:r>
            <w:r>
              <w:rPr>
                <w:rFonts w:hint="eastAsia" w:asciiTheme="minorEastAsia" w:hAnsiTheme="minorEastAsia" w:eastAsiaTheme="minorEastAsia" w:cstheme="minorEastAsia"/>
                <w:sz w:val="21"/>
                <w:szCs w:val="21"/>
                <w:highlight w:val="none"/>
                <w:lang w:val="en-US" w:eastAsia="zh-CN"/>
              </w:rPr>
              <w:t>800cd/平米，偏差：小于0.5mm;</w:t>
            </w:r>
          </w:p>
        </w:tc>
      </w:tr>
      <w:tr w14:paraId="139D59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19"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7E67A8A5">
            <w:pPr>
              <w:keepNext w:val="0"/>
              <w:keepLines w:val="0"/>
              <w:widowControl/>
              <w:suppressLineNumbers w:val="0"/>
              <w:jc w:val="center"/>
              <w:textAlignment w:val="center"/>
              <w:rPr>
                <w:rFonts w:hint="default"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9</w:t>
            </w:r>
          </w:p>
        </w:tc>
        <w:tc>
          <w:tcPr>
            <w:tcW w:w="900" w:type="dxa"/>
            <w:vMerge w:val="continue"/>
            <w:tcBorders>
              <w:left w:val="single" w:color="auto" w:sz="4" w:space="0"/>
              <w:right w:val="single" w:color="auto" w:sz="4" w:space="0"/>
            </w:tcBorders>
            <w:shd w:val="clear" w:color="auto" w:fill="auto"/>
            <w:noWrap/>
            <w:textDirection w:val="tbRlV"/>
            <w:vAlign w:val="center"/>
          </w:tcPr>
          <w:p w14:paraId="488A2E51">
            <w:pPr>
              <w:jc w:val="center"/>
              <w:rPr>
                <w:rFonts w:hint="eastAsia" w:ascii="宋体" w:hAnsi="宋体" w:eastAsia="宋体" w:cs="宋体"/>
                <w:b/>
                <w:bCs/>
                <w:i w:val="0"/>
                <w:iCs w:val="0"/>
                <w:color w:val="000000"/>
                <w:sz w:val="28"/>
                <w:szCs w:val="28"/>
                <w:highlight w:val="none"/>
                <w:u w:val="none"/>
              </w:rPr>
            </w:pPr>
          </w:p>
        </w:tc>
        <w:tc>
          <w:tcPr>
            <w:tcW w:w="852" w:type="dxa"/>
            <w:tcBorders>
              <w:top w:val="single" w:color="auto" w:sz="4" w:space="0"/>
              <w:left w:val="single" w:color="auto" w:sz="4" w:space="0"/>
              <w:right w:val="single" w:color="auto" w:sz="4" w:space="0"/>
            </w:tcBorders>
            <w:shd w:val="clear" w:color="auto" w:fill="auto"/>
            <w:vAlign w:val="center"/>
          </w:tcPr>
          <w:p w14:paraId="1558899D">
            <w:pPr>
              <w:jc w:val="center"/>
              <w:rPr>
                <w:rFonts w:hint="eastAsia" w:asciiTheme="minorEastAsia" w:hAnsiTheme="minorEastAsia" w:eastAsiaTheme="minorEastAsia" w:cstheme="minorEastAsia"/>
                <w:i w:val="0"/>
                <w:iCs w:val="0"/>
                <w:color w:val="000000"/>
                <w:sz w:val="21"/>
                <w:szCs w:val="21"/>
                <w:highlight w:val="none"/>
                <w:u w:val="none"/>
                <w:lang w:val="en-US" w:eastAsia="zh-CN"/>
              </w:rPr>
            </w:pPr>
            <w:bookmarkStart w:id="1" w:name="OLE_LINK2"/>
            <w:r>
              <w:rPr>
                <w:rFonts w:hint="eastAsia" w:asciiTheme="minorEastAsia" w:hAnsiTheme="minorEastAsia" w:eastAsiaTheme="minorEastAsia" w:cstheme="minorEastAsia"/>
                <w:i w:val="0"/>
                <w:iCs w:val="0"/>
                <w:color w:val="000000"/>
                <w:sz w:val="21"/>
                <w:szCs w:val="21"/>
                <w:highlight w:val="none"/>
                <w:u w:val="none"/>
                <w:lang w:val="en-US" w:eastAsia="zh-CN"/>
              </w:rPr>
              <w:t>前置机</w:t>
            </w:r>
            <w:bookmarkEnd w:id="1"/>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305012A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pP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软件运行</w:t>
            </w:r>
          </w:p>
        </w:tc>
        <w:tc>
          <w:tcPr>
            <w:tcW w:w="6378"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3902329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pP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 xml:space="preserve">CPU </w:t>
            </w:r>
            <w:r>
              <w:rPr>
                <w:rFonts w:hint="eastAsia" w:asciiTheme="minorEastAsia" w:hAnsiTheme="minorEastAsia" w:cstheme="minorEastAsia"/>
                <w:i w:val="0"/>
                <w:iCs w:val="0"/>
                <w:color w:val="000000"/>
                <w:kern w:val="2"/>
                <w:sz w:val="21"/>
                <w:szCs w:val="21"/>
                <w:highlight w:val="none"/>
                <w:u w:val="none"/>
                <w:lang w:val="en-US" w:eastAsia="zh-CN" w:bidi="ar-SA"/>
              </w:rPr>
              <w:t>≥</w:t>
            </w: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8核、内存</w:t>
            </w:r>
            <w:r>
              <w:rPr>
                <w:rFonts w:hint="eastAsia" w:asciiTheme="minorEastAsia" w:hAnsiTheme="minorEastAsia" w:cstheme="minorEastAsia"/>
                <w:i w:val="0"/>
                <w:iCs w:val="0"/>
                <w:color w:val="000000"/>
                <w:kern w:val="2"/>
                <w:sz w:val="21"/>
                <w:szCs w:val="21"/>
                <w:highlight w:val="none"/>
                <w:u w:val="none"/>
                <w:lang w:val="en-US" w:eastAsia="zh-CN" w:bidi="ar-SA"/>
              </w:rPr>
              <w:t>≥</w:t>
            </w: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32G、磁盘空间</w:t>
            </w:r>
            <w:r>
              <w:rPr>
                <w:rFonts w:hint="eastAsia" w:asciiTheme="minorEastAsia" w:hAnsiTheme="minorEastAsia" w:cstheme="minorEastAsia"/>
                <w:i w:val="0"/>
                <w:iCs w:val="0"/>
                <w:color w:val="000000"/>
                <w:kern w:val="2"/>
                <w:sz w:val="21"/>
                <w:szCs w:val="21"/>
                <w:highlight w:val="none"/>
                <w:u w:val="none"/>
                <w:lang w:val="en-US" w:eastAsia="zh-CN" w:bidi="ar-SA"/>
              </w:rPr>
              <w:t>≥</w:t>
            </w: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500G，linux操作系统。</w:t>
            </w:r>
          </w:p>
          <w:p w14:paraId="3CF81FB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pP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 xml:space="preserve">CPU </w:t>
            </w:r>
            <w:r>
              <w:rPr>
                <w:rFonts w:hint="eastAsia" w:asciiTheme="minorEastAsia" w:hAnsiTheme="minorEastAsia" w:cstheme="minorEastAsia"/>
                <w:i w:val="0"/>
                <w:iCs w:val="0"/>
                <w:color w:val="000000"/>
                <w:kern w:val="2"/>
                <w:sz w:val="21"/>
                <w:szCs w:val="21"/>
                <w:highlight w:val="none"/>
                <w:u w:val="none"/>
                <w:lang w:val="en-US" w:eastAsia="zh-CN" w:bidi="ar-SA"/>
              </w:rPr>
              <w:t>≥</w:t>
            </w: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8核、内存</w:t>
            </w:r>
            <w:r>
              <w:rPr>
                <w:rFonts w:hint="eastAsia" w:asciiTheme="minorEastAsia" w:hAnsiTheme="minorEastAsia" w:cstheme="minorEastAsia"/>
                <w:i w:val="0"/>
                <w:iCs w:val="0"/>
                <w:color w:val="000000"/>
                <w:kern w:val="2"/>
                <w:sz w:val="21"/>
                <w:szCs w:val="21"/>
                <w:highlight w:val="none"/>
                <w:u w:val="none"/>
                <w:lang w:val="en-US" w:eastAsia="zh-CN" w:bidi="ar-SA"/>
              </w:rPr>
              <w:t>≥</w:t>
            </w: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16G、磁盘空间</w:t>
            </w:r>
            <w:r>
              <w:rPr>
                <w:rFonts w:hint="eastAsia" w:asciiTheme="minorEastAsia" w:hAnsiTheme="minorEastAsia" w:cstheme="minorEastAsia"/>
                <w:i w:val="0"/>
                <w:iCs w:val="0"/>
                <w:color w:val="000000"/>
                <w:kern w:val="2"/>
                <w:sz w:val="21"/>
                <w:szCs w:val="21"/>
                <w:highlight w:val="none"/>
                <w:u w:val="none"/>
                <w:lang w:val="en-US" w:eastAsia="zh-CN" w:bidi="ar-SA"/>
              </w:rPr>
              <w:t>≥</w:t>
            </w: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4T以上windows操作系统</w:t>
            </w:r>
          </w:p>
        </w:tc>
      </w:tr>
      <w:tr w14:paraId="1D6A84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19"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0929A8E0">
            <w:pPr>
              <w:keepNext w:val="0"/>
              <w:keepLines w:val="0"/>
              <w:widowControl/>
              <w:suppressLineNumbers w:val="0"/>
              <w:jc w:val="center"/>
              <w:textAlignment w:val="center"/>
              <w:rPr>
                <w:rFonts w:hint="default" w:ascii="宋体" w:hAnsi="宋体" w:eastAsia="宋体" w:cs="宋体"/>
                <w:b w:val="0"/>
                <w:bCs w:val="0"/>
                <w:i w:val="0"/>
                <w:iCs w:val="0"/>
                <w:color w:val="000000"/>
                <w:sz w:val="24"/>
                <w:szCs w:val="24"/>
                <w:highlight w:val="none"/>
                <w:u w:val="none"/>
                <w:lang w:val="en-US"/>
              </w:rPr>
            </w:pPr>
            <w:r>
              <w:rPr>
                <w:rFonts w:hint="eastAsia" w:ascii="宋体" w:hAnsi="宋体" w:eastAsia="宋体" w:cs="宋体"/>
                <w:b w:val="0"/>
                <w:bCs w:val="0"/>
                <w:i w:val="0"/>
                <w:iCs w:val="0"/>
                <w:color w:val="000000"/>
                <w:kern w:val="0"/>
                <w:sz w:val="24"/>
                <w:szCs w:val="24"/>
                <w:highlight w:val="none"/>
                <w:u w:val="none"/>
                <w:lang w:val="en-US" w:eastAsia="zh-CN" w:bidi="ar"/>
              </w:rPr>
              <w:t>10</w:t>
            </w:r>
          </w:p>
        </w:tc>
        <w:tc>
          <w:tcPr>
            <w:tcW w:w="900" w:type="dxa"/>
            <w:vMerge w:val="continue"/>
            <w:tcBorders>
              <w:left w:val="single" w:color="auto" w:sz="4" w:space="0"/>
              <w:right w:val="single" w:color="auto" w:sz="4" w:space="0"/>
            </w:tcBorders>
            <w:shd w:val="clear" w:color="auto" w:fill="auto"/>
            <w:noWrap/>
            <w:textDirection w:val="tbRlV"/>
            <w:vAlign w:val="center"/>
          </w:tcPr>
          <w:p w14:paraId="59D16E89">
            <w:pPr>
              <w:jc w:val="center"/>
              <w:rPr>
                <w:rFonts w:hint="eastAsia" w:ascii="宋体" w:hAnsi="宋体" w:eastAsia="宋体" w:cs="宋体"/>
                <w:b/>
                <w:bCs/>
                <w:i w:val="0"/>
                <w:iCs w:val="0"/>
                <w:color w:val="000000"/>
                <w:sz w:val="28"/>
                <w:szCs w:val="28"/>
                <w:highlight w:val="none"/>
                <w:u w:val="none"/>
              </w:rPr>
            </w:pPr>
          </w:p>
        </w:tc>
        <w:tc>
          <w:tcPr>
            <w:tcW w:w="852" w:type="dxa"/>
            <w:vMerge w:val="restart"/>
            <w:tcBorders>
              <w:top w:val="single" w:color="auto" w:sz="4" w:space="0"/>
              <w:left w:val="single" w:color="auto" w:sz="4" w:space="0"/>
              <w:right w:val="single" w:color="auto" w:sz="4" w:space="0"/>
            </w:tcBorders>
            <w:shd w:val="clear" w:color="auto" w:fill="auto"/>
            <w:vAlign w:val="center"/>
          </w:tcPr>
          <w:p w14:paraId="2CAF799B">
            <w:pPr>
              <w:jc w:val="center"/>
              <w:rPr>
                <w:rFonts w:hint="eastAsia" w:asciiTheme="minorEastAsia" w:hAnsiTheme="minorEastAsia" w:eastAsiaTheme="minorEastAsia" w:cstheme="minorEastAsia"/>
                <w:i w:val="0"/>
                <w:iCs w:val="0"/>
                <w:color w:val="000000"/>
                <w:sz w:val="21"/>
                <w:szCs w:val="21"/>
                <w:highlight w:val="none"/>
                <w:u w:val="none"/>
                <w:lang w:val="en-US" w:eastAsia="zh-CN"/>
              </w:rPr>
            </w:pPr>
            <w:r>
              <w:rPr>
                <w:rFonts w:hint="eastAsia" w:asciiTheme="minorEastAsia" w:hAnsiTheme="minorEastAsia" w:eastAsiaTheme="minorEastAsia" w:cstheme="minorEastAsia"/>
                <w:i w:val="0"/>
                <w:iCs w:val="0"/>
                <w:color w:val="000000"/>
                <w:sz w:val="21"/>
                <w:szCs w:val="21"/>
                <w:highlight w:val="none"/>
                <w:u w:val="none"/>
                <w:lang w:val="en-US" w:eastAsia="zh-CN"/>
              </w:rPr>
              <w:t>基层终端</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7B9125A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pP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基层电脑</w:t>
            </w:r>
          </w:p>
        </w:tc>
        <w:tc>
          <w:tcPr>
            <w:tcW w:w="6378"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7F034ECE">
            <w:pPr>
              <w:keepNext w:val="0"/>
              <w:keepLines w:val="0"/>
              <w:widowControl/>
              <w:suppressLineNumbers w:val="0"/>
              <w:jc w:val="left"/>
              <w:textAlignment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内存容量：</w:t>
            </w:r>
            <w:r>
              <w:rPr>
                <w:rFonts w:hint="eastAsia" w:asciiTheme="minorEastAsia" w:hAnsiTheme="minorEastAsia" w:cstheme="minorEastAsia"/>
                <w:i w:val="0"/>
                <w:iCs w:val="0"/>
                <w:color w:val="000000"/>
                <w:kern w:val="2"/>
                <w:sz w:val="21"/>
                <w:szCs w:val="21"/>
                <w:highlight w:val="none"/>
                <w:u w:val="none"/>
                <w:lang w:val="en-US" w:eastAsia="zh-CN" w:bidi="ar-SA"/>
              </w:rPr>
              <w:t>≥</w:t>
            </w:r>
            <w:r>
              <w:rPr>
                <w:rFonts w:hint="eastAsia" w:asciiTheme="minorEastAsia" w:hAnsiTheme="minorEastAsia" w:eastAsiaTheme="minorEastAsia" w:cstheme="minorEastAsia"/>
                <w:sz w:val="21"/>
                <w:szCs w:val="21"/>
                <w:highlight w:val="none"/>
                <w:lang w:val="en-US" w:eastAsia="zh-CN"/>
              </w:rPr>
              <w:t>16GB</w:t>
            </w:r>
          </w:p>
          <w:p w14:paraId="3BB92421">
            <w:pPr>
              <w:keepNext w:val="0"/>
              <w:keepLines w:val="0"/>
              <w:widowControl/>
              <w:suppressLineNumbers w:val="0"/>
              <w:jc w:val="left"/>
              <w:textAlignment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类型：主机+显示器</w:t>
            </w:r>
          </w:p>
          <w:p w14:paraId="2F20C3F7">
            <w:pPr>
              <w:keepNext w:val="0"/>
              <w:keepLines w:val="0"/>
              <w:widowControl/>
              <w:suppressLineNumbers w:val="0"/>
              <w:jc w:val="left"/>
              <w:textAlignment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系统：Windows 11</w:t>
            </w:r>
          </w:p>
          <w:p w14:paraId="4D1B03DC">
            <w:pPr>
              <w:keepNext w:val="0"/>
              <w:keepLines w:val="0"/>
              <w:widowControl/>
              <w:suppressLineNumbers w:val="0"/>
              <w:jc w:val="left"/>
              <w:textAlignment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机箱大小：3-9.9L</w:t>
            </w:r>
          </w:p>
          <w:p w14:paraId="4155EA78">
            <w:pPr>
              <w:keepNext w:val="0"/>
              <w:keepLines w:val="0"/>
              <w:widowControl/>
              <w:suppressLineNumbers w:val="0"/>
              <w:jc w:val="left"/>
              <w:textAlignment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硬盘容量：</w:t>
            </w:r>
            <w:r>
              <w:rPr>
                <w:rFonts w:hint="eastAsia" w:asciiTheme="minorEastAsia" w:hAnsiTheme="minorEastAsia" w:cstheme="minorEastAsia"/>
                <w:i w:val="0"/>
                <w:iCs w:val="0"/>
                <w:color w:val="000000"/>
                <w:kern w:val="2"/>
                <w:sz w:val="21"/>
                <w:szCs w:val="21"/>
                <w:highlight w:val="none"/>
                <w:u w:val="none"/>
                <w:lang w:val="en-US" w:eastAsia="zh-CN" w:bidi="ar-SA"/>
              </w:rPr>
              <w:t>≥</w:t>
            </w:r>
            <w:r>
              <w:rPr>
                <w:rFonts w:hint="eastAsia" w:asciiTheme="minorEastAsia" w:hAnsiTheme="minorEastAsia" w:eastAsiaTheme="minorEastAsia" w:cstheme="minorEastAsia"/>
                <w:sz w:val="21"/>
                <w:szCs w:val="21"/>
                <w:highlight w:val="none"/>
                <w:lang w:val="en-US" w:eastAsia="zh-CN"/>
              </w:rPr>
              <w:t>1TB SSD</w:t>
            </w:r>
          </w:p>
          <w:p w14:paraId="23C4A0E7">
            <w:pPr>
              <w:keepNext w:val="0"/>
              <w:keepLines w:val="0"/>
              <w:widowControl/>
              <w:suppressLineNumbers w:val="0"/>
              <w:jc w:val="left"/>
              <w:textAlignment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显卡型号：集成显卡</w:t>
            </w:r>
          </w:p>
          <w:p w14:paraId="22F56F3B">
            <w:pPr>
              <w:keepNext w:val="0"/>
              <w:keepLines w:val="0"/>
              <w:widowControl/>
              <w:suppressLineNumbers w:val="0"/>
              <w:jc w:val="left"/>
              <w:textAlignment w:val="center"/>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sz w:val="21"/>
                <w:szCs w:val="21"/>
                <w:highlight w:val="none"/>
                <w:lang w:val="en-US" w:eastAsia="zh-CN"/>
              </w:rPr>
              <w:t>屏幕尺寸：23-25英寸</w:t>
            </w:r>
          </w:p>
          <w:p w14:paraId="78684DD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pPr>
          </w:p>
        </w:tc>
      </w:tr>
      <w:tr w14:paraId="754813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19"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6D49CF5C">
            <w:pPr>
              <w:keepNext w:val="0"/>
              <w:keepLines w:val="0"/>
              <w:widowControl/>
              <w:suppressLineNumbers w:val="0"/>
              <w:jc w:val="center"/>
              <w:textAlignment w:val="center"/>
              <w:rPr>
                <w:rFonts w:hint="default" w:ascii="宋体" w:hAnsi="宋体" w:eastAsia="宋体" w:cs="宋体"/>
                <w:b w:val="0"/>
                <w:bCs w:val="0"/>
                <w:i w:val="0"/>
                <w:iCs w:val="0"/>
                <w:color w:val="000000"/>
                <w:kern w:val="2"/>
                <w:sz w:val="24"/>
                <w:szCs w:val="24"/>
                <w:highlight w:val="none"/>
                <w:u w:val="none"/>
                <w:lang w:val="en-US" w:eastAsia="zh-CN" w:bidi="ar-SA"/>
              </w:rPr>
            </w:pPr>
            <w:r>
              <w:rPr>
                <w:rFonts w:hint="eastAsia" w:ascii="宋体" w:hAnsi="宋体" w:eastAsia="宋体" w:cs="宋体"/>
                <w:b w:val="0"/>
                <w:bCs w:val="0"/>
                <w:i w:val="0"/>
                <w:iCs w:val="0"/>
                <w:color w:val="000000"/>
                <w:kern w:val="0"/>
                <w:sz w:val="24"/>
                <w:szCs w:val="24"/>
                <w:highlight w:val="none"/>
                <w:u w:val="none"/>
                <w:lang w:val="en-US" w:eastAsia="zh-CN" w:bidi="ar"/>
              </w:rPr>
              <w:t>11</w:t>
            </w:r>
          </w:p>
        </w:tc>
        <w:tc>
          <w:tcPr>
            <w:tcW w:w="900" w:type="dxa"/>
            <w:vMerge w:val="continue"/>
            <w:tcBorders>
              <w:left w:val="single" w:color="auto" w:sz="4" w:space="0"/>
              <w:right w:val="single" w:color="auto" w:sz="4" w:space="0"/>
            </w:tcBorders>
            <w:shd w:val="clear" w:color="auto" w:fill="auto"/>
            <w:noWrap/>
            <w:textDirection w:val="tbRlV"/>
            <w:vAlign w:val="center"/>
          </w:tcPr>
          <w:p w14:paraId="51673665">
            <w:pPr>
              <w:jc w:val="center"/>
              <w:rPr>
                <w:rFonts w:hint="eastAsia" w:ascii="宋体" w:hAnsi="宋体" w:eastAsia="宋体" w:cs="宋体"/>
                <w:b/>
                <w:bCs/>
                <w:i w:val="0"/>
                <w:iCs w:val="0"/>
                <w:color w:val="000000"/>
                <w:sz w:val="28"/>
                <w:szCs w:val="28"/>
                <w:highlight w:val="none"/>
                <w:u w:val="none"/>
              </w:rPr>
            </w:pPr>
          </w:p>
        </w:tc>
        <w:tc>
          <w:tcPr>
            <w:tcW w:w="852" w:type="dxa"/>
            <w:vMerge w:val="continue"/>
            <w:tcBorders>
              <w:left w:val="single" w:color="auto" w:sz="4" w:space="0"/>
              <w:right w:val="single" w:color="auto" w:sz="4" w:space="0"/>
            </w:tcBorders>
            <w:shd w:val="clear" w:color="auto" w:fill="auto"/>
            <w:vAlign w:val="center"/>
          </w:tcPr>
          <w:p w14:paraId="59FB4475">
            <w:pPr>
              <w:jc w:val="center"/>
              <w:rPr>
                <w:rFonts w:hint="eastAsia" w:asciiTheme="minorEastAsia" w:hAnsiTheme="minorEastAsia" w:eastAsiaTheme="minorEastAsia" w:cstheme="minorEastAsia"/>
                <w:i w:val="0"/>
                <w:iCs w:val="0"/>
                <w:color w:val="000000"/>
                <w:sz w:val="21"/>
                <w:szCs w:val="21"/>
                <w:highlight w:val="none"/>
                <w:u w:val="none"/>
              </w:rPr>
            </w:pP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3833282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pP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基层打印机</w:t>
            </w:r>
          </w:p>
        </w:tc>
        <w:tc>
          <w:tcPr>
            <w:tcW w:w="6378"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32851E08">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pP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基础功能：打印；复印；扫描；传真</w:t>
            </w:r>
          </w:p>
          <w:p w14:paraId="0B6E6994">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pP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端口：USB；WiFi端口；以太网</w:t>
            </w:r>
          </w:p>
          <w:p w14:paraId="13D97B6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pP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打印速度：</w:t>
            </w:r>
            <w:r>
              <w:rPr>
                <w:rFonts w:hint="eastAsia" w:asciiTheme="minorEastAsia" w:hAnsiTheme="minorEastAsia" w:cstheme="minorEastAsia"/>
                <w:i w:val="0"/>
                <w:iCs w:val="0"/>
                <w:color w:val="000000"/>
                <w:kern w:val="2"/>
                <w:sz w:val="21"/>
                <w:szCs w:val="21"/>
                <w:highlight w:val="none"/>
                <w:u w:val="none"/>
                <w:lang w:val="en-US" w:eastAsia="zh-CN" w:bidi="ar-SA"/>
              </w:rPr>
              <w:t>≥</w:t>
            </w: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33页/分钟</w:t>
            </w:r>
          </w:p>
          <w:p w14:paraId="5D703E04">
            <w:pPr>
              <w:keepNext w:val="0"/>
              <w:keepLines w:val="0"/>
              <w:widowControl/>
              <w:suppressLineNumbers w:val="0"/>
              <w:jc w:val="left"/>
              <w:textAlignment w:val="center"/>
              <w:rPr>
                <w:rFonts w:hint="eastAsia" w:asciiTheme="minorEastAsia" w:hAnsiTheme="minorEastAsia" w:eastAsiaTheme="minorEastAsia" w:cstheme="minorEastAsia"/>
                <w:i w:val="0"/>
                <w:iCs w:val="0"/>
                <w:caps w:val="0"/>
                <w:color w:val="999999"/>
                <w:spacing w:val="0"/>
                <w:kern w:val="2"/>
                <w:sz w:val="21"/>
                <w:szCs w:val="21"/>
                <w:highlight w:val="none"/>
                <w:shd w:val="clear" w:fill="FFFFFF"/>
                <w:lang w:val="en-US" w:eastAsia="zh-CN" w:bidi="ar-SA"/>
              </w:rPr>
            </w:pP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双面打印：自动双面</w:t>
            </w:r>
          </w:p>
        </w:tc>
      </w:tr>
      <w:tr w14:paraId="62263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19"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741A35EC">
            <w:pPr>
              <w:keepNext w:val="0"/>
              <w:keepLines w:val="0"/>
              <w:widowControl/>
              <w:suppressLineNumbers w:val="0"/>
              <w:jc w:val="center"/>
              <w:textAlignment w:val="center"/>
              <w:rPr>
                <w:rFonts w:hint="default" w:ascii="宋体" w:hAnsi="宋体" w:eastAsia="宋体" w:cs="宋体"/>
                <w:b w:val="0"/>
                <w:bCs w:val="0"/>
                <w:i w:val="0"/>
                <w:iCs w:val="0"/>
                <w:color w:val="000000"/>
                <w:kern w:val="2"/>
                <w:sz w:val="24"/>
                <w:szCs w:val="24"/>
                <w:highlight w:val="none"/>
                <w:u w:val="none"/>
                <w:lang w:val="en-US" w:eastAsia="zh-CN" w:bidi="ar-SA"/>
              </w:rPr>
            </w:pPr>
            <w:r>
              <w:rPr>
                <w:rFonts w:hint="eastAsia" w:ascii="宋体" w:hAnsi="宋体" w:eastAsia="宋体" w:cs="宋体"/>
                <w:b w:val="0"/>
                <w:bCs w:val="0"/>
                <w:i w:val="0"/>
                <w:iCs w:val="0"/>
                <w:color w:val="000000"/>
                <w:kern w:val="0"/>
                <w:sz w:val="24"/>
                <w:szCs w:val="24"/>
                <w:highlight w:val="none"/>
                <w:u w:val="none"/>
                <w:lang w:val="en-US" w:eastAsia="zh-CN" w:bidi="ar"/>
              </w:rPr>
              <w:t>12</w:t>
            </w:r>
          </w:p>
        </w:tc>
        <w:tc>
          <w:tcPr>
            <w:tcW w:w="900" w:type="dxa"/>
            <w:vMerge w:val="continue"/>
            <w:tcBorders>
              <w:left w:val="single" w:color="auto" w:sz="4" w:space="0"/>
              <w:right w:val="single" w:color="auto" w:sz="4" w:space="0"/>
            </w:tcBorders>
            <w:shd w:val="clear" w:color="auto" w:fill="auto"/>
            <w:noWrap/>
            <w:textDirection w:val="tbRlV"/>
            <w:vAlign w:val="center"/>
          </w:tcPr>
          <w:p w14:paraId="00926A89">
            <w:pPr>
              <w:jc w:val="center"/>
              <w:rPr>
                <w:rFonts w:hint="eastAsia" w:ascii="宋体" w:hAnsi="宋体" w:eastAsia="宋体" w:cs="宋体"/>
                <w:b/>
                <w:bCs/>
                <w:i w:val="0"/>
                <w:iCs w:val="0"/>
                <w:color w:val="000000"/>
                <w:sz w:val="28"/>
                <w:szCs w:val="28"/>
                <w:highlight w:val="none"/>
                <w:u w:val="none"/>
              </w:rPr>
            </w:pPr>
          </w:p>
        </w:tc>
        <w:tc>
          <w:tcPr>
            <w:tcW w:w="852" w:type="dxa"/>
            <w:vMerge w:val="continue"/>
            <w:tcBorders>
              <w:left w:val="single" w:color="auto" w:sz="4" w:space="0"/>
              <w:bottom w:val="single" w:color="auto" w:sz="4" w:space="0"/>
              <w:right w:val="single" w:color="auto" w:sz="4" w:space="0"/>
            </w:tcBorders>
            <w:shd w:val="clear" w:color="auto" w:fill="auto"/>
            <w:vAlign w:val="center"/>
          </w:tcPr>
          <w:p w14:paraId="10CC9513">
            <w:pPr>
              <w:jc w:val="center"/>
              <w:rPr>
                <w:rFonts w:hint="eastAsia" w:asciiTheme="minorEastAsia" w:hAnsiTheme="minorEastAsia" w:eastAsiaTheme="minorEastAsia" w:cstheme="minorEastAsia"/>
                <w:i w:val="0"/>
                <w:iCs w:val="0"/>
                <w:color w:val="000000"/>
                <w:sz w:val="21"/>
                <w:szCs w:val="21"/>
                <w:highlight w:val="none"/>
                <w:u w:val="none"/>
              </w:rPr>
            </w:pP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2449EE66">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pP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远程会诊硬件</w:t>
            </w:r>
          </w:p>
        </w:tc>
        <w:tc>
          <w:tcPr>
            <w:tcW w:w="6378"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33048302">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pP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清晰度：</w:t>
            </w:r>
            <w:r>
              <w:rPr>
                <w:rFonts w:hint="eastAsia" w:asciiTheme="minorEastAsia" w:hAnsiTheme="minorEastAsia" w:cstheme="minorEastAsia"/>
                <w:i w:val="0"/>
                <w:iCs w:val="0"/>
                <w:color w:val="000000"/>
                <w:kern w:val="2"/>
                <w:sz w:val="21"/>
                <w:szCs w:val="21"/>
                <w:highlight w:val="none"/>
                <w:u w:val="none"/>
                <w:lang w:val="en-US" w:eastAsia="zh-CN" w:bidi="ar-SA"/>
              </w:rPr>
              <w:t>≥</w:t>
            </w: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1080p</w:t>
            </w:r>
          </w:p>
          <w:p w14:paraId="52C07931">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pP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是否支持视频会议：支持视频会议</w:t>
            </w:r>
          </w:p>
          <w:p w14:paraId="007DE28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pP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类型：会议摄像头</w:t>
            </w:r>
          </w:p>
          <w:p w14:paraId="4EB13F0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pPr>
          </w:p>
        </w:tc>
      </w:tr>
      <w:tr w14:paraId="00F24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619"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158157E9">
            <w:pPr>
              <w:keepNext w:val="0"/>
              <w:keepLines w:val="0"/>
              <w:widowControl/>
              <w:suppressLineNumbers w:val="0"/>
              <w:jc w:val="center"/>
              <w:textAlignment w:val="center"/>
              <w:rPr>
                <w:rFonts w:hint="default" w:ascii="宋体" w:hAnsi="宋体" w:eastAsia="宋体" w:cs="宋体"/>
                <w:b w:val="0"/>
                <w:bCs w:val="0"/>
                <w:i w:val="0"/>
                <w:iCs w:val="0"/>
                <w:color w:val="000000"/>
                <w:kern w:val="2"/>
                <w:sz w:val="24"/>
                <w:szCs w:val="24"/>
                <w:highlight w:val="none"/>
                <w:u w:val="none"/>
                <w:lang w:val="en-US" w:eastAsia="zh-CN" w:bidi="ar-SA"/>
              </w:rPr>
            </w:pPr>
            <w:r>
              <w:rPr>
                <w:rFonts w:hint="eastAsia" w:ascii="宋体" w:hAnsi="宋体" w:eastAsia="宋体" w:cs="宋体"/>
                <w:b w:val="0"/>
                <w:bCs w:val="0"/>
                <w:i w:val="0"/>
                <w:iCs w:val="0"/>
                <w:color w:val="000000"/>
                <w:sz w:val="24"/>
                <w:szCs w:val="24"/>
                <w:highlight w:val="none"/>
                <w:u w:val="none"/>
                <w:lang w:val="en-US" w:eastAsia="zh-CN"/>
              </w:rPr>
              <w:t>13</w:t>
            </w:r>
          </w:p>
        </w:tc>
        <w:tc>
          <w:tcPr>
            <w:tcW w:w="900" w:type="dxa"/>
            <w:vMerge w:val="continue"/>
            <w:tcBorders>
              <w:left w:val="single" w:color="auto" w:sz="4" w:space="0"/>
              <w:bottom w:val="single" w:color="auto" w:sz="4" w:space="0"/>
              <w:right w:val="single" w:color="auto" w:sz="4" w:space="0"/>
            </w:tcBorders>
            <w:shd w:val="clear" w:color="auto" w:fill="auto"/>
            <w:noWrap/>
            <w:textDirection w:val="tbRlV"/>
            <w:vAlign w:val="center"/>
          </w:tcPr>
          <w:p w14:paraId="14EE7ECE">
            <w:pPr>
              <w:jc w:val="center"/>
              <w:rPr>
                <w:rFonts w:hint="eastAsia" w:ascii="宋体" w:hAnsi="宋体" w:eastAsia="宋体" w:cs="宋体"/>
                <w:b/>
                <w:bCs/>
                <w:i w:val="0"/>
                <w:iCs w:val="0"/>
                <w:color w:val="000000"/>
                <w:sz w:val="28"/>
                <w:szCs w:val="28"/>
                <w:highlight w:val="none"/>
                <w:u w:val="none"/>
              </w:rPr>
            </w:pPr>
          </w:p>
        </w:tc>
        <w:tc>
          <w:tcPr>
            <w:tcW w:w="852" w:type="dxa"/>
            <w:tcBorders>
              <w:top w:val="single" w:color="auto" w:sz="4" w:space="0"/>
              <w:left w:val="single" w:color="auto" w:sz="4" w:space="0"/>
              <w:bottom w:val="single" w:color="auto" w:sz="4" w:space="0"/>
              <w:right w:val="single" w:color="auto" w:sz="4" w:space="0"/>
            </w:tcBorders>
            <w:shd w:val="clear" w:color="auto" w:fill="auto"/>
            <w:vAlign w:val="center"/>
          </w:tcPr>
          <w:p w14:paraId="694F17D1">
            <w:pPr>
              <w:jc w:val="center"/>
              <w:rPr>
                <w:rFonts w:hint="eastAsia" w:asciiTheme="minorEastAsia" w:hAnsiTheme="minorEastAsia" w:eastAsiaTheme="minorEastAsia" w:cstheme="minorEastAsia"/>
                <w:i w:val="0"/>
                <w:iCs w:val="0"/>
                <w:color w:val="000000"/>
                <w:sz w:val="21"/>
                <w:szCs w:val="21"/>
                <w:highlight w:val="none"/>
                <w:u w:val="none"/>
                <w:lang w:val="en-US" w:eastAsia="zh-CN"/>
              </w:rPr>
            </w:pPr>
            <w:r>
              <w:rPr>
                <w:rFonts w:hint="eastAsia" w:asciiTheme="minorEastAsia" w:hAnsiTheme="minorEastAsia" w:eastAsiaTheme="minorEastAsia" w:cstheme="minorEastAsia"/>
                <w:i w:val="0"/>
                <w:iCs w:val="0"/>
                <w:color w:val="000000"/>
                <w:sz w:val="21"/>
                <w:szCs w:val="21"/>
                <w:highlight w:val="none"/>
                <w:u w:val="none"/>
                <w:lang w:val="en-US" w:eastAsia="zh-CN"/>
              </w:rPr>
              <w:t>医共体专线</w:t>
            </w:r>
          </w:p>
        </w:tc>
        <w:tc>
          <w:tcPr>
            <w:tcW w:w="840" w:type="dxa"/>
            <w:tcBorders>
              <w:top w:val="single" w:color="auto" w:sz="4" w:space="0"/>
              <w:left w:val="single" w:color="auto" w:sz="4" w:space="0"/>
              <w:bottom w:val="single" w:color="auto" w:sz="4" w:space="0"/>
              <w:right w:val="single" w:color="auto" w:sz="4" w:space="0"/>
            </w:tcBorders>
            <w:shd w:val="clear" w:color="auto" w:fill="auto"/>
            <w:vAlign w:val="center"/>
          </w:tcPr>
          <w:p w14:paraId="5E13411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pPr>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基层专线</w:t>
            </w:r>
          </w:p>
        </w:tc>
        <w:tc>
          <w:tcPr>
            <w:tcW w:w="6378" w:type="dxa"/>
            <w:tcBorders>
              <w:top w:val="single" w:color="000000" w:sz="4" w:space="0"/>
              <w:left w:val="single" w:color="auto" w:sz="4" w:space="0"/>
              <w:bottom w:val="single" w:color="000000" w:sz="4" w:space="0"/>
              <w:right w:val="single" w:color="000000" w:sz="4" w:space="0"/>
            </w:tcBorders>
            <w:shd w:val="clear" w:color="auto" w:fill="auto"/>
            <w:noWrap/>
            <w:vAlign w:val="center"/>
          </w:tcPr>
          <w:p w14:paraId="383A6FD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pPr>
            <w:bookmarkStart w:id="2" w:name="_GoBack"/>
            <w:r>
              <w:rPr>
                <w:rFonts w:hint="eastAsia" w:asciiTheme="minorEastAsia" w:hAnsiTheme="minorEastAsia" w:eastAsiaTheme="minorEastAsia" w:cstheme="minorEastAsia"/>
                <w:i w:val="0"/>
                <w:iCs w:val="0"/>
                <w:color w:val="000000"/>
                <w:kern w:val="2"/>
                <w:sz w:val="21"/>
                <w:szCs w:val="21"/>
                <w:highlight w:val="none"/>
                <w:u w:val="none"/>
                <w:lang w:val="en-US" w:eastAsia="zh-CN" w:bidi="ar-SA"/>
              </w:rPr>
              <w:t>支持卫健专网传输，卫健委、二级医院为200M带宽，卫生院为100M带宽</w:t>
            </w:r>
            <w:r>
              <w:rPr>
                <w:rFonts w:hint="eastAsia" w:asciiTheme="minorEastAsia" w:hAnsiTheme="minorEastAsia" w:cstheme="minorEastAsia"/>
                <w:i w:val="0"/>
                <w:iCs w:val="0"/>
                <w:color w:val="000000"/>
                <w:kern w:val="2"/>
                <w:sz w:val="21"/>
                <w:szCs w:val="21"/>
                <w:highlight w:val="none"/>
                <w:u w:val="none"/>
                <w:lang w:val="en-US" w:eastAsia="zh-CN" w:bidi="ar-SA"/>
              </w:rPr>
              <w:t>。</w:t>
            </w:r>
            <w:bookmarkEnd w:id="2"/>
          </w:p>
        </w:tc>
      </w:tr>
    </w:tbl>
    <w:p w14:paraId="57F749A8">
      <w:pPr>
        <w:numPr>
          <w:ilvl w:val="0"/>
          <w:numId w:val="0"/>
        </w:numPr>
        <w:rPr>
          <w:rFonts w:hint="default"/>
          <w:lang w:val="en-US" w:eastAsia="zh-CN"/>
        </w:rPr>
      </w:pPr>
    </w:p>
    <w:p w14:paraId="59B9CF20"/>
    <w:sectPr>
      <w:footerReference r:id="rId3"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9137E1E-0D40-47D9-B856-EF9EA82E9CA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9A65A2">
    <w:pPr>
      <w:pStyle w:val="5"/>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D12759">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9D12759">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FB027B"/>
    <w:multiLevelType w:val="singleLevel"/>
    <w:tmpl w:val="BEFB027B"/>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 w:name="KSO_WPS_MARK_KEY" w:val="f5551cab-acf2-4c61-93f7-a3539dcfc7f7"/>
  </w:docVars>
  <w:rsids>
    <w:rsidRoot w:val="49A92B5A"/>
    <w:rsid w:val="05ED611F"/>
    <w:rsid w:val="0B301CBB"/>
    <w:rsid w:val="101A3748"/>
    <w:rsid w:val="104273F5"/>
    <w:rsid w:val="11285DCA"/>
    <w:rsid w:val="114D3A73"/>
    <w:rsid w:val="124627DB"/>
    <w:rsid w:val="13FA3C37"/>
    <w:rsid w:val="1E1B1A00"/>
    <w:rsid w:val="22784C35"/>
    <w:rsid w:val="24D1010B"/>
    <w:rsid w:val="39B27721"/>
    <w:rsid w:val="48BF3D66"/>
    <w:rsid w:val="49A92B5A"/>
    <w:rsid w:val="4D081851"/>
    <w:rsid w:val="4D631744"/>
    <w:rsid w:val="4D706CB3"/>
    <w:rsid w:val="509F796C"/>
    <w:rsid w:val="545B6022"/>
    <w:rsid w:val="589F5B00"/>
    <w:rsid w:val="58A67F87"/>
    <w:rsid w:val="5BFFFF6F"/>
    <w:rsid w:val="617226F6"/>
    <w:rsid w:val="6577631E"/>
    <w:rsid w:val="6C472331"/>
    <w:rsid w:val="73126ACA"/>
    <w:rsid w:val="753D623D"/>
    <w:rsid w:val="75730F03"/>
    <w:rsid w:val="7AA007A7"/>
    <w:rsid w:val="7B9EEFD6"/>
    <w:rsid w:val="7F5DFA3E"/>
    <w:rsid w:val="85CFE92E"/>
    <w:rsid w:val="8BBFEBCB"/>
    <w:rsid w:val="EF3EE3C2"/>
    <w:rsid w:val="F6DF44EB"/>
    <w:rsid w:val="FBFFB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4"/>
    <w:unhideWhenUsed/>
    <w:qFormat/>
    <w:uiPriority w:val="0"/>
    <w:pPr>
      <w:spacing w:after="120"/>
    </w:pPr>
  </w:style>
  <w:style w:type="paragraph" w:customStyle="1" w:styleId="4">
    <w:name w:val="目录 61"/>
    <w:next w:val="1"/>
    <w:qFormat/>
    <w:uiPriority w:val="0"/>
    <w:pPr>
      <w:wordWrap w:val="0"/>
      <w:ind w:left="2125"/>
      <w:jc w:val="both"/>
    </w:pPr>
    <w:rPr>
      <w:rFonts w:ascii="Times New Roman" w:hAnsi="Times New Roman" w:eastAsia="宋体" w:cs="Times New Roman"/>
      <w:sz w:val="21"/>
      <w:lang w:val="en-US" w:eastAsia="zh-CN" w:bidi="ar-SA"/>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First Indent"/>
    <w:basedOn w:val="1"/>
    <w:qFormat/>
    <w:uiPriority w:val="0"/>
    <w:rPr>
      <w:rFonts w:ascii="Times New Roman" w:hAnsi="Times New Roman" w:cs="Times New Roman"/>
      <w:sz w:val="21"/>
      <w:szCs w:val="20"/>
    </w:rPr>
  </w:style>
  <w:style w:type="paragraph" w:styleId="10">
    <w:name w:val="List Paragraph"/>
    <w:basedOn w:val="1"/>
    <w:qFormat/>
    <w:uiPriority w:val="34"/>
    <w:pPr>
      <w:spacing w:line="240" w:lineRule="auto"/>
      <w:ind w:firstLine="420" w:firstLineChars="200"/>
    </w:pPr>
    <w:rPr>
      <w:rFonts w:ascii="Times New Roman" w:hAnsi="Times New Roman" w:cs="Times New Roman"/>
      <w:sz w:val="21"/>
    </w:rPr>
  </w:style>
  <w:style w:type="paragraph" w:customStyle="1" w:styleId="11">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2596</Words>
  <Characters>2867</Characters>
  <Lines>0</Lines>
  <Paragraphs>0</Paragraphs>
  <TotalTime>4</TotalTime>
  <ScaleCrop>false</ScaleCrop>
  <LinksUpToDate>false</LinksUpToDate>
  <CharactersWithSpaces>2873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2024-12-25T21:49:00Z</dcterms:created>
  <dc:creator>bao</dc:creator>
  <cp:lastModifiedBy>李建国</cp:lastModifiedBy>
  <dcterms:modified xsi:type="dcterms:W3CDTF">2025-03-26T07:28:52Z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DFD75929C0AB2B257DB1D367D06D47DE</vt:lpwstr>
  </property>
  <property fmtid="{D5CDD505-2E9C-101B-9397-08002B2CF9AE}" pid="4" name="KSOTemplateDocerSaveRecord">
    <vt:lpwstr>eyJoZGlkIjoiOWI5NjhlMDdlMjQzY2M3YWI1YWU2MGQxYzA5MDU3NzkiLCJ1c2VySWQiOiIyOTUxNDcxMjgifQ==</vt:lpwstr>
  </property>
</Properties>
</file>